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DISCOVERY LIMITED</w:t>
      </w:r>
    </w:p>
    <w:p>
      <w:pPr>
        <w:spacing w:after="40"/>
      </w:pPr>
      <w:r>
        <w:rPr>
          <w:color w:val="595959"/>
          <w:sz w:val="18"/>
          <w:szCs w:val="18"/>
        </w:rPr>
        <w:t xml:space="preserve">JSE: DSY   •   Diversified insurer &amp; behavioural-finance platform   •   ~R178–180bn market cap (≈23rd-largest JSE stock)   •   Reports IFRS in ZAR (FY-end 30 June)</w:t>
      </w:r>
    </w:p>
    <w:p>
      <w:pPr>
        <w:spacing w:after="30"/>
      </w:pPr>
      <w:r>
        <w:rPr>
          <w:b/>
          <w:bCs/>
          <w:sz w:val="24"/>
          <w:szCs w:val="24"/>
        </w:rPr>
        <w:t xml:space="preserve">12–18 Month Outlook — The Strait of Hormuz: Scenarios A and B</w:t>
      </w:r>
    </w:p>
    <w:p>
      <w:pPr>
        <w:spacing w:after="120"/>
      </w:pPr>
      <w:r>
        <w:rPr>
          <w:i/>
          <w:iCs/>
          <w:color w:val="595959"/>
          <w:sz w:val="18"/>
          <w:szCs w:val="18"/>
        </w:rPr>
        <w:t xml:space="preserve">Investment Committee briefing  •  17 June 2026  •  Internal research, for information only — not investment advice</w:t>
      </w:r>
    </w:p>
    <w:p>
      <w:pPr>
        <w:pBdr>
          <w:bottom w:val="single" w:color="1F3864" w:sz="6" w:space="1"/>
        </w:pBdr>
        <w:spacing w:after="60" w:before="60"/>
      </w:pPr>
      <w:r>
        <w:t xml:space="preserve"/>
      </w:r>
    </w:p>
    <w:p>
      <w:pPr>
        <w:spacing w:after="140" w:before="0" w:line="264"/>
      </w:pPr>
      <w:r>
        <w:rPr>
          <w:b/>
          <w:bCs/>
          <w:color w:val="1F3864"/>
          <w:sz w:val="20"/>
          <w:szCs w:val="20"/>
        </w:rPr>
        <w:t xml:space="preserve">Scenario convention.  </w:t>
      </w:r>
      <w:r>
        <w:rPr>
          <w:sz w:val="20"/>
          <w:szCs w:val="20"/>
        </w:rPr>
        <w:t xml:space="preserve">We keep the house A/B labels used in the Shoprite, Gold Fields and Capitec notes: Scenario A = the Strait reopens (your case “b” — opens in the next few weeks); Scenario B = the Strait stays closed (your case “a” — shut for the foreseeable future). As of 17 June 2026 the Strait has been effectively closed since ~2 March 2026 after strikes on Iran; a US–Iran reopening deal was reached on 14 June (signing 19 June), but the US estimates ~6 months to clear mines, ~2,000 ships are stranded, and UAE state-oil guidance is that full flows may not resume until 2027 — so prediction markets put only ~51% odds on normal traffic before 1 August. Crucially, oil markets are already pricing the re-open: Brent has round-tripped from ~$101 (3 Jun) to ~$79 (17 Jun). “Open” is a hope the market half-believes, not yet a fact.</w:t>
      </w:r>
    </w:p>
    <w:p>
      <w:pPr>
        <w:pStyle w:val="Heading1"/>
        <w:spacing w:after="140" w:before="280"/>
      </w:pPr>
      <w:r>
        <w:rPr>
          <w:b/>
          <w:bCs/>
          <w:color w:val="1F3864"/>
          <w:sz w:val="26"/>
          <w:szCs w:val="26"/>
        </w:rPr>
        <w:t xml:space="preserve">1.  Executive summary</w:t>
      </w:r>
    </w:p>
    <w:p>
      <w:pPr>
        <w:spacing w:after="120" w:before="0" w:line="264"/>
      </w:pPr>
      <w:r>
        <w:rPr>
          <w:b/>
          <w:bCs/>
          <w:color w:val="1F3864"/>
          <w:sz w:val="20"/>
          <w:szCs w:val="20"/>
        </w:rPr>
        <w:t xml:space="preserve">The short answer.  </w:t>
      </w:r>
      <w:r>
        <w:rPr>
          <w:sz w:val="20"/>
          <w:szCs w:val="20"/>
        </w:rPr>
        <w:t xml:space="preserve">Discovery is not an oil stock — it is a diversified insurer and behavioural-finance platform whose fortunes track the South African consumer’s wallet and the SARB’s rate path, reached indirectly through fuel and food inflation, interest rates and the rand. But Discovery is unusually scenario-balanced for two structural reasons. First, roughly a fifth of normalised operating profit is earned offshore in pounds and renminbi (VitalityHealth and VitalityLife in the UK; Ping An Health in China), so a weak rand — the very thing that squeezes its SA customer in Scenario B — simultaneously inflates the ZAR value of those offshore earnings. Second, its largest SA profit pool, Discovery Health, is annuity-like medical-scheme administration that households rarely cancel, anchoring the franchise through a downturn. Rates cut both ways: higher-for-longer lifts the investment return on Discovery’s large shareholder capital and policyholder float (an endowment tailwind) even as it pressures the consumer and marks down its bond portfolio.</w:t>
      </w:r>
    </w:p>
    <w:p>
      <w:pPr>
        <w:spacing w:after="120" w:before="0" w:line="264"/>
      </w:pPr>
      <w:r>
        <w:rPr>
          <w:b/>
          <w:bCs/>
          <w:color w:val="1F3864"/>
          <w:sz w:val="20"/>
          <w:szCs w:val="20"/>
        </w:rPr>
        <w:t xml:space="preserve">What it is today.  </w:t>
      </w:r>
      <w:r>
        <w:rPr>
          <w:sz w:val="20"/>
          <w:szCs w:val="20"/>
        </w:rPr>
        <w:t xml:space="preserve">A high-quality compounder trading near its all-time high (R278.94 on 11 May 2026; ~R261 more recently; ~R178–180bn market cap). FY2025 (year to 30 June 2025) was strong: normalised profit from operations +29% to R15.21bn, normalised headline earnings +30% to R9.78bn, normalised HEPS +29% to 1 470.4c, return on embedded value 15.7% (from 13.2%) and embedded value +15% to R126.6bn. The structural milestone is Discovery Bank — profitable in H2 FY2025 “ahead of plan”, and a R75m profit in H1 FY2026 (from a R145m loss): the loss-making drag of the last six years is now an earnings contributor. Capital strengthened (financial leverage ratio down to 16.8% from 20.3%) and the dividend rose 32% to 201c. It trades on ~17.8x trailing normalised earnings and ~1.4x embedded value (e) — a premium that prices the growth story.</w:t>
      </w:r>
    </w:p>
    <w:p>
      <w:pPr>
        <w:spacing w:after="120" w:before="0" w:line="264"/>
      </w:pPr>
      <w:r>
        <w:rPr>
          <w:b/>
          <w:bCs/>
          <w:color w:val="1F3864"/>
          <w:sz w:val="20"/>
          <w:szCs w:val="20"/>
        </w:rPr>
        <w:t xml:space="preserve">Base case (next 12–18m).  </w:t>
      </w:r>
      <w:r>
        <w:rPr>
          <w:sz w:val="20"/>
          <w:szCs w:val="20"/>
        </w:rPr>
        <w:t xml:space="preserve">Continued double-digit normalised earnings growth is plausible but should decelerate from the FY2025 sprint, part of which was non-repeating recovery (Insure +229%, VitalityHealth +173%, the unwind of SA one-off costs). The single biggest internal driver is Discovery Bank scaling its new profitability; alongside it, VitalityHealth UK margins inflecting, SA one-off costs ameliorating in FY2026, and embedded value compounding at a ~15–16% RoEV. The Hormuz scenarios act on the SARB path, the rand and the consumer — and, uniquely for Discovery, the rand pulls the domestic franchise and the offshore earnings in opposite directions.</w:t>
      </w:r>
    </w:p>
    <w:p>
      <w:pPr>
        <w:spacing w:after="120" w:before="0" w:line="264"/>
      </w:pPr>
      <w:r>
        <w:rPr>
          <w:b/>
          <w:bCs/>
          <w:color w:val="1F3864"/>
          <w:sz w:val="20"/>
          <w:szCs w:val="20"/>
        </w:rPr>
        <w:t xml:space="preserve">Scenario A — the Strait reopens (your case b).  </w:t>
      </w:r>
      <w:r>
        <w:rPr>
          <w:sz w:val="20"/>
          <w:szCs w:val="20"/>
        </w:rPr>
        <w:t xml:space="preserve">Brent normalises ~$70–80 (already underway), pump-price relief, inflation eases toward the 3% target, the SARB resumes cutting toward its ~6.67% ‘intermediate’ path, the rand firms and the consumer recovers. For Discovery’s SA franchise this is the better business case: lapses ease, new business re-accelerates from a soft FY2025 (Health API −14%, Life API −10%), Vitality engagement and Bank scaling improve at lower credit risk, and Invest AUM/flows rise with risk-on markets; falling yields also deliver bond mark-to-market gains. The Discovery-specific offsets: a firmer rand is a translation headwind on the ~21%+ of profit earned in £/RMB, and falling rates compress the endowment return on capital. Market-wise it is risk-on and SA Inc. re-rates; DSY participates but already sits near record highs.</w:t>
      </w:r>
    </w:p>
    <w:p>
      <w:pPr>
        <w:spacing w:after="120" w:before="0" w:line="264"/>
      </w:pPr>
      <w:r>
        <w:rPr>
          <w:b/>
          <w:bCs/>
          <w:color w:val="1F3864"/>
          <w:sz w:val="20"/>
          <w:szCs w:val="20"/>
        </w:rPr>
        <w:t xml:space="preserve">Scenario B — the Strait stays closed (your case a).  </w:t>
      </w:r>
      <w:r>
        <w:rPr>
          <w:sz w:val="20"/>
          <w:szCs w:val="20"/>
        </w:rPr>
        <w:t xml:space="preserve">Brent holds ~$95–110+, pump prices at/above record, the rand weak and volatile, the SARB on its ~8.17% ‘severe’ path by end-2026, inflation ~1pp hotter, real incomes falling. This is the tougher case for the SA franchise: Life and Insure lapses tick up, SA new business slows further, Discovery Bank credit losses rise and its young profitability could stall, Invest AUM is pressured, and rising yields mark down the bond book. But the cushions are unusually strong: (1) a weak rand is a translation tailwind on the fast-growing offshore book (Vitality composite +70%, VitalityHealth +173%); (2) higher-for-longer rates lift the endowment/investment return on capital and float; (3) Discovery Health’s ~R4.3bn annuity-like admin profit is defensive — medical aid is sticky; and (4) a fortress balance sheet (FLR 16.8%) and a single, well-covered dividend absorb stress. Net: earnings growth decelerates rather than breaks; the bigger risk is the multiple — a premium compounder near all-time highs can de-rate in a risk-off SA tape, so the share can fall further than the earnings.</w:t>
      </w:r>
    </w:p>
    <w:p>
      <w:pPr>
        <w:spacing w:after="120" w:before="0" w:line="264"/>
      </w:pPr>
      <w:r>
        <w:rPr>
          <w:b/>
          <w:bCs/>
          <w:color w:val="1F3864"/>
          <w:sz w:val="20"/>
          <w:szCs w:val="20"/>
        </w:rPr>
        <w:t xml:space="preserve">The punchline.  </w:t>
      </w:r>
      <w:r>
        <w:rPr>
          <w:sz w:val="20"/>
          <w:szCs w:val="20"/>
        </w:rPr>
        <w:t xml:space="preserve">Discovery is one of the most scenario-balanced names on the watchlist. Like Capitec it is a leveraged play on the SA consumer reached through the wallet and the SARB, not an oil stock — but unlike pure-domestic Capitec it carries a built-in rand hedge (a fifth of profit in £/RMB) and a defensive Health annuity, so the weak-rand Scenario B that hurts the consumer simultaneously flatters reported offshore earnings. B is a deceleration, not a derailment; A is the cleaner business case for the SA franchise but brings an offshore translation drag. In both, the larger swing for the share is the premium multiple, not the franchise.</w:t>
      </w:r>
    </w:p>
    <w:p>
      <w:pPr>
        <w:spacing w:after="160" w:before="0" w:line="264"/>
      </w:pPr>
      <w:r>
        <w:rPr>
          <w:b/>
          <w:bCs/>
          <w:color w:val="1F3864"/>
          <w:sz w:val="20"/>
          <w:szCs w:val="20"/>
        </w:rPr>
        <w:t xml:space="preserve">Biggest swing factors.  </w:t>
      </w:r>
      <w:r>
        <w:rPr>
          <w:sz w:val="20"/>
          <w:szCs w:val="20"/>
        </w:rPr>
        <w:t xml:space="preserve">(1) the SARB repo path between ~6.67% and ~8.17% (endowment + bond mark-to-market vs consumer affordability + Bank credit); (2) USD/ZAR (translation of the ~21%+ offshore profit — which moves opposite to the SA consumer); (3) the SA consumer’s health (lapses, new-business API, Bank credit losses); (4) equity-market levels (Discovery Invest AUM and value of new business); and (5) the premium ~17.8x / ~1.4x EV multiple (de-rating risk in B, near record highs) — with the NHI policy overhang a structural wildcard independent of the oil scenario.</w:t>
      </w:r>
    </w:p>
    <w:p>
      <w:pPr>
        <w:spacing w:after="80" w:before="60"/>
      </w:pPr>
      <w:r>
        <w:rPr>
          <w:b/>
          <w:bCs/>
          <w:color w:val="1F3864"/>
          <w:sz w:val="22"/>
          <w:szCs w:val="22"/>
        </w:rPr>
        <w:t xml:space="preserve">Headline — direction of travel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Driver</w:t>
            </w:r>
          </w:p>
        </w:tc>
        <w:tc>
          <w:tcPr>
            <w:tcW w:type="dxa" w:w="318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Scenario A — Strait open (case b)</w:t>
            </w:r>
          </w:p>
        </w:tc>
        <w:tc>
          <w:tcPr>
            <w:tcW w:type="dxa" w:w="318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Scenario B — Strait shut (case a)</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Brent crude</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Normalises ~$70–80/bbl (already ~$79) (e)</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Holds ~$95–110+/bbl; tail higher (e)</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SA pump prices</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Relief — eases off the record</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At/above record (inland 95 ~R28.06/l)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SA CPI / fuel</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Eases toward 3% target</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~+1pp hotter on fuel/transport (e)</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USD/ZAR</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Firms as risk-on returns</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Weak/volatile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SARB repo path</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Resumes cutting (~6.67% intermediate)</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Tightens (~8.17% severe, end-2026)</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SA consumer</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Recovers — real incomes improve</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Squeezed — real incomes fall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Offshore (£/RMB) translation</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Headwind — rand strength</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TAILWIND — rand weakness (key offset)</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Endowment / return on capital</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Compresses as rates fall</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Lifts as rates stay high</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Bond mark-to-market</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Gains as yields fall</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Losses as yields rise</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Discovery Health (admin annuity)</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Resilient</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Defensive — sticky medical aid</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Life &amp; Insure lapses / new biz</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Improve</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Deteriorate</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Discovery Bank (credit &amp; scaling)</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Scales faster, lower credit risk</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Credit losses rise; inflection at risk</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Discovery Invest AUM / flows</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Up (risk-on equities)</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Pressured (risk-off)</w:t>
            </w:r>
          </w:p>
        </w:tc>
      </w:tr>
      <w:tr>
        <w:tc>
          <w:tcPr>
            <w:tcW w:type="dxa" w:w="3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Discovery norm. earnings growth (e)</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Supported — offset by translation drag</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Decelerates — cushioned by offshore + endowment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Relative share-price call</w:t>
            </w:r>
          </w:p>
        </w:tc>
        <w:tc>
          <w:tcPr>
            <w:tcW w:type="dxa" w:w="3180"/>
            <w:tcBorders>
              <w:top w:val="single" w:color="BFBFBF" w:sz="1"/>
              <w:left w:val="single" w:color="BFBFBF" w:sz="1"/>
              <w:bottom w:val="single" w:color="BFBFBF" w:sz="1"/>
              <w:right w:val="single" w:color="BFBFBF" w:sz="1"/>
            </w:tcBorders>
            <w:shd w:fill="E2EFDA" w:color="auto" w:val="clear"/>
            <w:tcMar>
              <w:top w:type="dxa" w:w="60"/>
              <w:left w:type="dxa" w:w="110"/>
              <w:bottom w:type="dxa" w:w="60"/>
              <w:right w:type="dxa" w:w="110"/>
            </w:tcMar>
            <w:vAlign w:val="center"/>
          </w:tcPr>
          <w:p>
            <w:pPr>
              <w:spacing w:after="0" w:line="240"/>
            </w:pPr>
            <w:r>
              <w:rPr>
                <w:b w:val="false"/>
                <w:bCs w:val="false"/>
                <w:sz w:val="18"/>
                <w:szCs w:val="18"/>
              </w:rPr>
              <w:t xml:space="preserve">Participates; near record highs</w:t>
            </w:r>
          </w:p>
        </w:tc>
        <w:tc>
          <w:tcPr>
            <w:tcW w:type="dxa" w:w="3180"/>
            <w:tcBorders>
              <w:top w:val="single" w:color="BFBFBF" w:sz="1"/>
              <w:left w:val="single" w:color="BFBFBF" w:sz="1"/>
              <w:bottom w:val="single" w:color="BFBFBF" w:sz="1"/>
              <w:right w:val="single" w:color="BFBFBF" w:sz="1"/>
            </w:tcBorders>
            <w:shd w:fill="FCE4D6" w:color="auto" w:val="clear"/>
            <w:tcMar>
              <w:top w:type="dxa" w:w="60"/>
              <w:left w:type="dxa" w:w="110"/>
              <w:bottom w:type="dxa" w:w="60"/>
              <w:right w:type="dxa" w:w="110"/>
            </w:tcMar>
            <w:vAlign w:val="center"/>
          </w:tcPr>
          <w:p>
            <w:pPr>
              <w:spacing w:after="0" w:line="240"/>
            </w:pPr>
            <w:r>
              <w:rPr>
                <w:b w:val="false"/>
                <w:bCs w:val="false"/>
                <w:sz w:val="18"/>
                <w:szCs w:val="18"/>
              </w:rPr>
              <w:t xml:space="preserve">Earnings cushioned; multiple de-rating risk</w:t>
            </w:r>
          </w:p>
        </w:tc>
      </w:tr>
    </w:tbl>
    <w:p>
      <w:pPr>
        <w:spacing w:after="160" w:before="0" w:line="264"/>
      </w:pPr>
      <w:r>
        <w:rPr>
          <w:i/>
          <w:iCs/>
          <w:color w:val="595959"/>
          <w:sz w:val="16"/>
          <w:szCs w:val="16"/>
        </w:rPr>
        <w:t xml:space="preserve">Directional analyst judgement marked (e); not company guidance. Actuals sourced in §2–§3 and §5. Scenario macro levels are analyst assumptions held consistent with the fund’s Shoprite / Gold Fields / Capitec notes, not forecasts.</w:t>
      </w:r>
    </w:p>
    <w:p>
      <w:pPr>
        <w:pStyle w:val="Heading1"/>
        <w:spacing w:after="140" w:before="280"/>
      </w:pPr>
      <w:r>
        <w:rPr>
          <w:b/>
          <w:bCs/>
          <w:color w:val="1F3864"/>
          <w:sz w:val="26"/>
          <w:szCs w:val="26"/>
        </w:rPr>
        <w:t xml:space="preserve">2.  What Discovery is today (FY2025 snapshot)</w:t>
      </w:r>
    </w:p>
    <w:p>
      <w:pPr>
        <w:spacing w:after="120" w:before="0" w:line="264"/>
      </w:pPr>
      <w:r>
        <w:rPr>
          <w:sz w:val="20"/>
          <w:szCs w:val="20"/>
        </w:rPr>
        <w:t xml:space="preserve">Discovery delivered a strong FY2025 (year to 30 June 2025; audited, unmodified joint opinion from KPMG Inc. and Deloitte &amp; Touche, 10 Sep 2025; results released 11 Sep 2025). Normalised profit from operations rose +29% to R15.21bn and normalised headline earnings +30% to R9.78bn, with return on embedded value lifting to 15.7% (from 13.2%). Growth was broad: Discovery South Africa +22% and the Vitality (UK + Global) composite +70%. The structural feature of the result is the inflection of Discovery Bank to profitability in H2, and a sharp deleveraging (financial leverage ratio down 350bps to 16.8%). The soft spot is new business: total API was −2% (Health API −14%, Life API −10%), flattered to +8% only after excluding the prior-year Sasolmed take-on.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800"/>
        <w:gridCol w:w="1800"/>
        <w:gridCol w:w="1400"/>
      </w:tblGrid>
      <w:tr>
        <w:trPr>
          <w:tblHeader/>
        </w:trPr>
        <w:tc>
          <w:tcPr>
            <w:tcW w:type="dxa" w:w="43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Metric (group)</w:t>
            </w:r>
          </w:p>
        </w:tc>
        <w:tc>
          <w:tcPr>
            <w:tcW w:type="dxa" w:w="18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FY2025</w:t>
            </w:r>
          </w:p>
        </w:tc>
        <w:tc>
          <w:tcPr>
            <w:tcW w:type="dxa" w:w="18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FY2024</w:t>
            </w:r>
          </w:p>
        </w:tc>
        <w:tc>
          <w:tcPr>
            <w:tcW w:type="dxa" w:w="14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Change</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Normalised profit from operations (R'm)</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15 210</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11 761</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+29%</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Normalised headline earnings (R'm)</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9 781</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7 511</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+30%</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Normalised HEPS (cents)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1 470.4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1 136.2</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+29%</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Headline earnings (R'm)</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9 625</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7 384</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+30%</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Basic HEPS (cents)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1 447.0</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1 117.0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+30%</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Basic EPS (cents)</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1 402.2</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1 110.3</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+26%</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Embedded value (R'm)</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126 554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110 354</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+15%</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Embedded value per share (R)</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189.85</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166.95</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+14%</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Return on embedded value (%)</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15.7</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13.2</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+250 bps</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Normalised ROE (%)</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15.4</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13.5</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+190 bps</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New business API (R'm)</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26 486</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26 958</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Net asset value (R'm)</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65 699</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54 451</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+21%</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Financial leverage ratio (%)</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16.8</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20.3</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−350 bps</w:t>
            </w:r>
          </w:p>
        </w:tc>
      </w:tr>
      <w:tr>
        <w:tc>
          <w:tcPr>
            <w:tcW w:type="dxa" w:w="4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Cash conversion (%)</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77</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65</w:t>
            </w:r>
          </w:p>
        </w:tc>
        <w:tc>
          <w:tcPr>
            <w:tcW w:type="dxa" w:w="1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+1 200 bps</w:t>
            </w:r>
          </w:p>
        </w:tc>
      </w:tr>
      <w:t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Dividend per share — annual (cents)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201.00</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152.00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+32%</w:t>
            </w:r>
          </w:p>
        </w:tc>
      </w:tr>
    </w:tbl>
    <w:p>
      <w:pPr>
        <w:spacing w:after="160" w:before="0" w:line="264"/>
      </w:pPr>
      <w:r>
        <w:rPr>
          <w:i/>
          <w:iCs/>
          <w:color w:val="595959"/>
          <w:sz w:val="16"/>
          <w:szCs w:val="16"/>
        </w:rPr>
        <w:t xml:space="preserve">Source: FY2025 audited results announcement (SENS, 11 Sep 2025). FY2024 comparatives restated (transition note D.1.1). Discovery declares a single annual (final) dividend. Valuation (e): at ~R261 the share trades on ~17.8x normalised HEPS and ~1.4x EV per share; 679.68m shares × ~R261 ≈ R177.7bn, consistent with the ~R178bn market cap.</w:t>
      </w:r>
    </w:p>
    <w:p>
      <w:pPr>
        <w:pStyle w:val="Heading1"/>
        <w:spacing w:after="140" w:before="280"/>
      </w:pPr>
      <w:r>
        <w:rPr>
          <w:b/>
          <w:bCs/>
          <w:color w:val="1F3864"/>
          <w:sz w:val="26"/>
          <w:szCs w:val="26"/>
        </w:rPr>
        <w:t xml:space="preserve">3.  Where the profit comes from (segment view, FY2025)</w:t>
      </w:r>
    </w:p>
    <w:p>
      <w:pPr>
        <w:spacing w:after="120" w:before="0" w:line="264"/>
      </w:pPr>
      <w:r>
        <w:rPr>
          <w:sz w:val="20"/>
          <w:szCs w:val="20"/>
        </w:rPr>
        <w:t xml:space="preserve">Normalised profit from operations by business unit, with new-business API. Discovery South Africa is ~79% of group operating profit; the offshore Vitality composite (UK + China + Global) is ~21% — the structural rand hedge that shapes the Hormuz scenarios. The standout deltas are Insure (+229%, a turnaround), VitalityHealth UK (+173%, pricing actions + stabilising claims) and the Bank loss narrowing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800"/>
      </w:tblGrid>
      <w:tr>
        <w:trPr>
          <w:tblHeader/>
        </w:trPr>
        <w:tc>
          <w:tcPr>
            <w:tcW w:type="dxa" w:w="37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Segment</w:t>
            </w:r>
          </w:p>
        </w:tc>
        <w:tc>
          <w:tcPr>
            <w:tcW w:type="dxa" w:w="19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NOP FY2025 (R'm)</w:t>
            </w:r>
          </w:p>
        </w:tc>
        <w:tc>
          <w:tcPr>
            <w:tcW w:type="dxa" w:w="19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NOP YoY</w:t>
            </w:r>
          </w:p>
        </w:tc>
        <w:tc>
          <w:tcPr>
            <w:tcW w:type="dxa" w:w="18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New-biz API FY2025 (R'm)</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Discovery Health</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4 259</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+7%</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9 573  (−14%)</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Discovery Life</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5 525</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+14%</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3 203  (−10%)</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Discovery Invest</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1 987</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+29%</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3 430  (+4%)</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Discovery Insure¹</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817</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+229%</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1 361  (−2%)</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Discovery South Africa (incl. Bank −68, central −515)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12 005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+22%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18 113  (−8%)</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VitalityHealth (UK)</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1 188</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+173%</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2 851  (+3%)</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VitalityLife (UK)</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637</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+70%</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2 499  (+28%)</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Ping An Health (China, equity-acc.)</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1 206</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+7%</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3 023  (+22%)</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Vitality Global / Network (+ central, VHI-other)</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174</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n/m</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b/>
                <w:bCs/>
                <w:sz w:val="18"/>
                <w:szCs w:val="18"/>
              </w:rPr>
              <w:t xml:space="preserve">Vitality composite (UK + Global)</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bCs/>
                <w:sz w:val="18"/>
                <w:szCs w:val="18"/>
              </w:rPr>
              <w:t xml:space="preserve">3 205</w:t>
            </w:r>
          </w:p>
        </w:tc>
        <w:tc>
          <w:tcPr>
            <w:tcW w:type="dxa" w:w="19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bCs/>
                <w:sz w:val="18"/>
                <w:szCs w:val="18"/>
              </w:rPr>
              <w:t xml:space="preserve">+70%</w:t>
            </w:r>
          </w:p>
        </w:tc>
        <w:tc>
          <w:tcPr>
            <w:tcW w:type="dxa" w:w="18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bCs/>
                <w:sz w:val="18"/>
                <w:szCs w:val="18"/>
              </w:rPr>
              <w:t xml:space="preserve">8 373  (+16%)</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GROUP — Normalised profit from operations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15 210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+29%</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26 486  (−2%)</w:t>
            </w:r>
          </w:p>
        </w:tc>
      </w:tr>
    </w:tbl>
    <w:p>
      <w:pPr>
        <w:spacing w:after="160" w:before="0" w:line="264"/>
      </w:pPr>
      <w:r>
        <w:rPr>
          <w:i/>
          <w:iCs/>
          <w:color w:val="595959"/>
          <w:sz w:val="16"/>
          <w:szCs w:val="16"/>
        </w:rPr>
        <w:t xml:space="preserve">Source: FY2025 results (SENS, 11 Sep 2025), Business Unit Performance table. ¹Insure includes its share of equity-accounted associate profit. Discovery Bank FY2025 NOP was a (R68m) loss, narrowed 85% — it turned profitable in H2 “ahead of plan”; clients +30%, advances +39%, deposits +26%. In H1 FY2026 (to Dec 2025, secondary source) the Bank posted a +R75m profit (from a −R145m loss), with clients +28% to 1.4m and advances +42%.</w:t>
      </w:r>
    </w:p>
    <w:p>
      <w:pPr>
        <w:pStyle w:val="Heading1"/>
        <w:spacing w:after="140" w:before="280"/>
      </w:pPr>
      <w:r>
        <w:rPr>
          <w:b/>
          <w:bCs/>
          <w:color w:val="1F3864"/>
          <w:sz w:val="26"/>
          <w:szCs w:val="26"/>
        </w:rPr>
        <w:t xml:space="preserve">4.  The 12–18 month outlook</w:t>
      </w:r>
    </w:p>
    <w:p>
      <w:pPr>
        <w:spacing w:after="120" w:before="0" w:line="264"/>
      </w:pPr>
      <w:r>
        <w:rPr>
          <w:b/>
          <w:bCs/>
          <w:color w:val="1F3864"/>
          <w:sz w:val="20"/>
          <w:szCs w:val="20"/>
        </w:rPr>
        <w:t xml:space="preserve">A “new distinct phase of scaled organic growth.”  </w:t>
      </w:r>
      <w:r>
        <w:rPr>
          <w:sz w:val="20"/>
          <w:szCs w:val="20"/>
        </w:rPr>
        <w:t xml:space="preserve">Management frames FY2026 onward as the pay-off from its investment cycle, executed through two engines — the global Vitality composite and Discovery South Africa. Three internal drivers dominate the next 12–18 months, largely independent of the oil scenario:</w:t>
      </w:r>
    </w:p>
    <w:p>
      <w:pPr>
        <w:pStyle w:val="ListParagraph"/>
        <w:numPr>
          <w:ilvl w:val="0"/>
          <w:numId w:val="2"/>
        </w:numPr>
        <w:spacing w:after="80" w:line="264"/>
      </w:pPr>
      <w:r>
        <w:rPr>
          <w:b/>
          <w:bCs/>
          <w:sz w:val="18"/>
          <w:szCs w:val="18"/>
        </w:rPr>
        <w:t xml:space="preserve">Discovery Bank — from drag to driver. </w:t>
      </w:r>
      <w:r>
        <w:rPr>
          <w:sz w:val="20"/>
          <w:szCs w:val="20"/>
        </w:rPr>
        <w:t xml:space="preserve">Profitable in H2 FY2025 “ahead of plan” and +R75m in H1 FY2026 (vs −R145m). Management expects it “to grow earnings strongly as it continues to scale”, with a “super bank” ambition integrating health, insurance and investment, and a Vitality AI launch with Google. This swing from a multi-hundred-million-rand annual loss to a growing profit is the single largest internal earnings lever.</w:t>
      </w:r>
    </w:p>
    <w:p>
      <w:pPr>
        <w:pStyle w:val="ListParagraph"/>
        <w:numPr>
          <w:ilvl w:val="0"/>
          <w:numId w:val="2"/>
        </w:numPr>
        <w:spacing w:after="80" w:line="264"/>
      </w:pPr>
      <w:r>
        <w:rPr>
          <w:b/>
          <w:bCs/>
          <w:sz w:val="18"/>
          <w:szCs w:val="18"/>
        </w:rPr>
        <w:t xml:space="preserve">SA one-offs unwind. </w:t>
      </w:r>
      <w:r>
        <w:rPr>
          <w:sz w:val="20"/>
          <w:szCs w:val="20"/>
        </w:rPr>
        <w:t xml:space="preserve">FY2025 Health profit (+7%) was held back by elevated Vitality benefit utilisation, the HealthyFood partner launch and central one-off costs that management expects to “ameliorate in FY2026.”</w:t>
      </w:r>
    </w:p>
    <w:p>
      <w:pPr>
        <w:pStyle w:val="ListParagraph"/>
        <w:numPr>
          <w:ilvl w:val="0"/>
          <w:numId w:val="2"/>
        </w:numPr>
        <w:spacing w:after="80" w:line="264"/>
      </w:pPr>
      <w:r>
        <w:rPr>
          <w:b/>
          <w:bCs/>
          <w:sz w:val="18"/>
          <w:szCs w:val="18"/>
        </w:rPr>
        <w:t xml:space="preserve">VitalityHealth UK margin trajectory. </w:t>
      </w:r>
      <w:r>
        <w:rPr>
          <w:sz w:val="20"/>
          <w:szCs w:val="20"/>
        </w:rPr>
        <w:t xml:space="preserve">+173% in FY2025 on “effective pricing actions, a stabilising claims environment and rigorous claims and expense management” — a margin-recovery runway that should persist.</w:t>
      </w:r>
    </w:p>
    <w:p>
      <w:pPr>
        <w:spacing w:after="120" w:before="0" w:line="264"/>
      </w:pPr>
      <w:r>
        <w:rPr>
          <w:b/>
          <w:bCs/>
          <w:color w:val="1F3864"/>
          <w:sz w:val="20"/>
          <w:szCs w:val="20"/>
        </w:rPr>
        <w:t xml:space="preserve">Compounding the embedded value.  </w:t>
      </w:r>
      <w:r>
        <w:rPr>
          <w:sz w:val="20"/>
          <w:szCs w:val="20"/>
        </w:rPr>
        <w:t xml:space="preserve">Return on embedded value of 15.7% and EV +15% to R126.6bn give a ~15–16% intrinsic-value compounding base. Capital is strong across every regulated business; the financial leverage ratio fell to 16.8% and Ping An Health paid a second dividend (payout raised to 35% from 30%), improving cash flow to the centre (group cash conversion up to 77%).</w:t>
      </w:r>
    </w:p>
    <w:p>
      <w:pPr>
        <w:spacing w:after="150" w:before="0" w:line="264"/>
      </w:pPr>
      <w:r>
        <w:rPr>
          <w:b/>
          <w:bCs/>
          <w:color w:val="1F3864"/>
          <w:sz w:val="20"/>
          <w:szCs w:val="20"/>
        </w:rPr>
        <w:t xml:space="preserve">How fast, realistically.  </w:t>
      </w:r>
      <w:r>
        <w:rPr>
          <w:sz w:val="20"/>
          <w:szCs w:val="20"/>
        </w:rPr>
        <w:t xml:space="preserve">Double-digit normalised earnings growth is a reasonable base case, but expect deceleration from the +29–30% FY2025 print: Insure (+229%) and VitalityHealth (+173%) were recovery rebounds that do not repeat at that pace, and SA new business is soft (API −2%). The plausible shape is high-single to low-double-digit normalised operating-profit growth, Bank-led, with EV the steadier guide. Gore stated in March 2026 that the group “continues to move ahead of its five-year growth targets.” (Note: the specific numeric medium-term ‘Ambition’ target was not located verbatim in the documents retrieved this run — see coverage gaps.)</w:t>
      </w:r>
    </w:p>
    <w:p>
      <w:pPr>
        <w:pStyle w:val="Heading1"/>
        <w:spacing w:after="140" w:before="280"/>
      </w:pPr>
      <w:r>
        <w:rPr>
          <w:b/>
          <w:bCs/>
          <w:color w:val="1F3864"/>
          <w:sz w:val="26"/>
          <w:szCs w:val="26"/>
        </w:rPr>
        <w:t xml:space="preserve">5.  Management incentives — how they are paid, and what it rewards</w:t>
      </w:r>
    </w:p>
    <w:p>
      <w:pPr>
        <w:spacing w:after="120" w:before="0" w:line="264"/>
      </w:pPr>
      <w:r>
        <w:rPr>
          <w:b/>
          <w:bCs/>
          <w:color w:val="1F3864"/>
          <w:sz w:val="20"/>
          <w:szCs w:val="20"/>
        </w:rPr>
        <w:t xml:space="preserve">One combined plan (the SIP).  </w:t>
      </w:r>
      <w:r>
        <w:rPr>
          <w:sz w:val="20"/>
          <w:szCs w:val="20"/>
        </w:rPr>
        <w:t xml:space="preserve">Discovery runs a Single-Incentive Plan: a cash short-term incentive plus a deferred-share long-term incentive, both driven off the same annual scorecard. For Executive Directors the deferred shares vest in years 3, 4 and 5 with no further performance conditions (continued employment only) — a notable governance point: the “long-term” incentive is effectively deferred STI, so forward alignment rests on the share price, the minimum shareholding requirement and (for the founder) a very large equity stake rather than on multi-year performance hurdles. STI and LTIP are subject to malus (pre-vest) and clawback (3 years post-vest).</w:t>
      </w:r>
    </w:p>
    <w:p>
      <w:pPr>
        <w:spacing w:after="120" w:before="0" w:line="264"/>
      </w:pPr>
      <w:r>
        <w:rPr>
          <w:b/>
          <w:bCs/>
          <w:color w:val="1F3864"/>
          <w:sz w:val="20"/>
          <w:szCs w:val="20"/>
        </w:rPr>
        <w:t xml:space="preserve">What the scorecard rewards.  </w:t>
      </w:r>
      <w:r>
        <w:rPr>
          <w:sz w:val="20"/>
          <w:szCs w:val="20"/>
        </w:rPr>
        <w:t xml:space="preserve">The FY2025 group scorecard was 65% financial / 35% non-financial and paid out at 129.4% of target. The financial weight rewards exactly the growth story above — and the targets are aggressive (on-target = CPI + GDP + 4%; stretch = CPI + GDP + 8%). ROE was the one financial measure that missed (79% outcome), a useful check that returns lagged the growth. At shareholders’ request the financial weighting rises to 70% in FY2026 (more weight to operating profit and cash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2400"/>
        <w:gridCol w:w="2400"/>
      </w:tblGrid>
      <w:tr>
        <w:trPr>
          <w:tblHeader/>
        </w:trPr>
        <w:tc>
          <w:tcPr>
            <w:tcW w:type="dxa" w:w="33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FY2025 scorecard measure</w:t>
            </w:r>
          </w:p>
        </w:tc>
        <w:tc>
          <w:tcPr>
            <w:tcW w:type="dxa" w:w="12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Weight</w:t>
            </w:r>
          </w:p>
        </w:tc>
        <w:tc>
          <w:tcPr>
            <w:tcW w:type="dxa" w:w="24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On-target / stretch</w:t>
            </w:r>
          </w:p>
        </w:tc>
        <w:tc>
          <w:tcPr>
            <w:tcW w:type="dxa" w:w="24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Outcome</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Normalised operating-profit growth</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CPI+GDP+4% / +8%</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150%  (NOP +29%)</w:t>
            </w:r>
          </w:p>
        </w:tc>
      </w:tr>
      <w:tr>
        <w:tc>
          <w:tcPr>
            <w:tcW w:type="dxa" w:w="3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HEPS growth (diluted)</w:t>
            </w:r>
          </w:p>
        </w:tc>
        <w:tc>
          <w:tcPr>
            <w:tcW w:type="dxa" w:w="12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10%</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pPr>
            <w:r>
              <w:rPr>
                <w:b w:val="false"/>
                <w:bCs w:val="false"/>
                <w:sz w:val="18"/>
                <w:szCs w:val="18"/>
              </w:rPr>
              <w:t xml:space="preserve">CPI+GDP+4% / +8%</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pPr>
            <w:r>
              <w:rPr>
                <w:b w:val="false"/>
                <w:bCs w:val="false"/>
                <w:sz w:val="18"/>
                <w:szCs w:val="18"/>
              </w:rPr>
              <w:t xml:space="preserve">150%  (HEPS +30%)</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ROE (3-yr trailing avg)</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WACC+3.8% / +6%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79%  (ROE 14.4%)</w:t>
            </w:r>
          </w:p>
        </w:tc>
      </w:tr>
      <w:tr>
        <w:tc>
          <w:tcPr>
            <w:tcW w:type="dxa" w:w="3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Revenue growth</w:t>
            </w:r>
          </w:p>
        </w:tc>
        <w:tc>
          <w:tcPr>
            <w:tcW w:type="dxa" w:w="12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10%</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pPr>
            <w:r>
              <w:rPr>
                <w:b w:val="false"/>
                <w:bCs w:val="false"/>
                <w:sz w:val="18"/>
                <w:szCs w:val="18"/>
              </w:rPr>
              <w:t xml:space="preserve">CPI+GDP+4% / +8%</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pPr>
            <w:r>
              <w:rPr>
                <w:b w:val="false"/>
                <w:bCs w:val="false"/>
                <w:sz w:val="18"/>
                <w:szCs w:val="18"/>
              </w:rPr>
              <w:t xml:space="preserve">150%  (+14%)</w:t>
            </w:r>
          </w:p>
        </w:tc>
      </w:tr>
      <w:tr>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Cash conversion</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62.5% / 75%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pPr>
            <w:r>
              <w:rPr>
                <w:b w:val="false"/>
                <w:bCs w:val="false"/>
                <w:sz w:val="18"/>
                <w:szCs w:val="18"/>
              </w:rPr>
              <w:t xml:space="preserve">150%  (77%)</w:t>
            </w:r>
          </w:p>
        </w:tc>
      </w:tr>
      <w:tr>
        <w:tc>
          <w:tcPr>
            <w:tcW w:type="dxa" w:w="33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Client perception / ESG / strategy / people</w:t>
            </w:r>
          </w:p>
        </w:tc>
        <w:tc>
          <w:tcPr>
            <w:tcW w:type="dxa" w:w="12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35%</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pPr>
            <w:r>
              <w:rPr>
                <w:b w:val="false"/>
                <w:bCs w:val="false"/>
                <w:sz w:val="18"/>
                <w:szCs w:val="18"/>
              </w:rPr>
              <w:t xml:space="preserve">various</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pPr>
            <w:r>
              <w:rPr>
                <w:b w:val="false"/>
                <w:bCs w:val="false"/>
                <w:sz w:val="18"/>
                <w:szCs w:val="18"/>
              </w:rPr>
              <w:t xml:space="preserve">≈104–143%</w:t>
            </w:r>
          </w:p>
        </w:tc>
      </w:tr>
    </w:tbl>
    <w:p>
      <w:pPr>
        <w:spacing w:after="120" w:before="0" w:line="264"/>
      </w:pPr>
      <w:r>
        <w:rPr>
          <w:i/>
          <w:iCs/>
          <w:color w:val="595959"/>
          <w:sz w:val="16"/>
          <w:szCs w:val="16"/>
        </w:rPr>
        <w:t xml:space="preserve">Source: FY2025 Remuneration Report. CEO scorecard split: 80% group / 20% personal. A separate OPSI ‘Outperformance Plan’ pays key business CEOs (Discovery SA/Bank, Vitality UK) in deferred shares over 3 years for super-stretch delivery — H.D. Kallner’s Bank-linked OPSI personal score was 272.46%, which is why he is the highest-paid executive.</w:t>
      </w:r>
    </w:p>
    <w:p>
      <w:pPr>
        <w:spacing w:after="120" w:before="0" w:line="264"/>
      </w:pPr>
      <w:r>
        <w:rPr>
          <w:b/>
          <w:bCs/>
          <w:color w:val="1F3864"/>
          <w:sz w:val="20"/>
          <w:szCs w:val="20"/>
        </w:rPr>
        <w:t xml:space="preserve">Single-figure remuneration (FY2025 vs FY2024).  </w:t>
      </w:r>
      <w:r>
        <w:rPr>
          <w:sz w:val="20"/>
          <w:szCs w:val="20"/>
        </w:rPr>
        <w:t xml:space="preserve">Pay is rising and OPSI-driven; notably, the divisional CEO running Discovery SA/Bank out-earns the founder-CEO, reflecting the Bank turnaround the OPSI was designed to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400"/>
        <w:gridCol w:w="2200"/>
        <w:gridCol w:w="1000"/>
      </w:tblGrid>
      <w:tr>
        <w:trPr>
          <w:tblHeader/>
        </w:trPr>
        <w:tc>
          <w:tcPr>
            <w:tcW w:type="dxa" w:w="376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left"/>
            </w:pPr>
            <w:r>
              <w:rPr>
                <w:b/>
                <w:bCs/>
                <w:color w:val="FFFFFF"/>
                <w:sz w:val="18"/>
                <w:szCs w:val="18"/>
              </w:rPr>
              <w:t xml:space="preserve">Executive</w:t>
            </w:r>
          </w:p>
        </w:tc>
        <w:tc>
          <w:tcPr>
            <w:tcW w:type="dxa" w:w="24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FY2025 total</w:t>
            </w:r>
          </w:p>
        </w:tc>
        <w:tc>
          <w:tcPr>
            <w:tcW w:type="dxa" w:w="22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FY2024 total</w:t>
            </w:r>
          </w:p>
        </w:tc>
        <w:tc>
          <w:tcPr>
            <w:tcW w:type="dxa" w:w="1000"/>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vAlign w:val="center"/>
          </w:tcPr>
          <w:p>
            <w:pPr>
              <w:spacing w:after="0" w:line="240"/>
              <w:jc w:val="right"/>
            </w:pPr>
            <w:r>
              <w:rPr>
                <w:b/>
                <w:bCs/>
                <w:color w:val="FFFFFF"/>
                <w:sz w:val="18"/>
                <w:szCs w:val="18"/>
              </w:rPr>
              <w:t xml:space="preserve">Chg</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sz w:val="18"/>
                <w:szCs w:val="18"/>
              </w:rPr>
              <w:t xml:space="preserve">A. Gore — Group CEO (founder)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R37.22m</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R31.67m</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bCs/>
                <w:sz w:val="18"/>
                <w:szCs w:val="18"/>
              </w:rPr>
              <w:t xml:space="preserve">+18%</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H.D. Kallner — CEO Discovery SA/Bank (highest paid)</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R61.08m</w:t>
            </w:r>
          </w:p>
        </w:tc>
        <w:tc>
          <w:tcPr>
            <w:tcW w:type="dxa" w:w="22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R57.65m</w:t>
            </w:r>
          </w:p>
        </w:tc>
        <w:tc>
          <w:tcPr>
            <w:tcW w:type="dxa" w:w="1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+6%</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D.M. Viljoen — Group CFO</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R29.74m</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R25.96m</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+15%</w:t>
            </w:r>
          </w:p>
        </w:tc>
      </w:tr>
      <w:tr>
        <w:tc>
          <w:tcPr>
            <w:tcW w:type="dxa" w:w="376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left"/>
            </w:pPr>
            <w:r>
              <w:rPr>
                <w:sz w:val="18"/>
                <w:szCs w:val="18"/>
              </w:rPr>
              <w:t xml:space="preserve">B. Swartzberg — CEO Vitality</w:t>
            </w:r>
          </w:p>
        </w:tc>
        <w:tc>
          <w:tcPr>
            <w:tcW w:type="dxa" w:w="24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R26.14m</w:t>
            </w:r>
          </w:p>
        </w:tc>
        <w:tc>
          <w:tcPr>
            <w:tcW w:type="dxa" w:w="22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R30.14m</w:t>
            </w:r>
          </w:p>
        </w:tc>
        <w:tc>
          <w:tcPr>
            <w:tcW w:type="dxa" w:w="1000"/>
            <w:tcBorders>
              <w:top w:val="single" w:color="BFBFBF" w:sz="1"/>
              <w:left w:val="single" w:color="BFBFBF" w:sz="1"/>
              <w:bottom w:val="single" w:color="BFBFBF" w:sz="1"/>
              <w:right w:val="single" w:color="BFBFBF" w:sz="1"/>
            </w:tcBorders>
            <w:shd w:fill="F2F6FB" w:color="auto" w:val="clear"/>
            <w:tcMar>
              <w:top w:type="dxa" w:w="60"/>
              <w:left w:type="dxa" w:w="110"/>
              <w:bottom w:type="dxa" w:w="60"/>
              <w:right w:type="dxa" w:w="110"/>
            </w:tcMar>
            <w:vAlign w:val="center"/>
          </w:tcPr>
          <w:p>
            <w:pPr>
              <w:spacing w:after="0" w:line="240"/>
              <w:jc w:val="right"/>
            </w:pPr>
            <w:r>
              <w:rPr>
                <w:b w:val="false"/>
                <w:bCs w:val="false"/>
                <w:sz w:val="18"/>
                <w:szCs w:val="18"/>
              </w:rPr>
              <w:t xml:space="preserve">−13%</w:t>
            </w:r>
          </w:p>
        </w:tc>
      </w:tr>
      <w:tr>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N.S. Koopowitz (GBP)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£4.48m</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£2.84m</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right"/>
            </w:pPr>
            <w:r>
              <w:rPr>
                <w:b w:val="false"/>
                <w:bCs w:val="false"/>
                <w:sz w:val="18"/>
                <w:szCs w:val="18"/>
              </w:rPr>
              <w:t xml:space="preserve">+58%</w:t>
            </w:r>
          </w:p>
        </w:tc>
      </w:tr>
    </w:tbl>
    <w:p>
      <w:pPr>
        <w:spacing w:after="120" w:before="0" w:line="264"/>
      </w:pPr>
      <w:r>
        <w:rPr>
          <w:b/>
          <w:bCs/>
          <w:color w:val="1F3864"/>
          <w:sz w:val="20"/>
          <w:szCs w:val="20"/>
        </w:rPr>
        <w:t xml:space="preserve">Founder skin-in-the-game.  </w:t>
      </w:r>
      <w:r>
        <w:rPr>
          <w:sz w:val="20"/>
          <w:szCs w:val="20"/>
        </w:rPr>
        <w:t xml:space="preserve">The CEO must hold ≥5× annual pay in DSY shares (other EDs 2×); at 30 June 2025 Gore “significantly exceeded” this. Gore’s beneficial stake is reported (secondary sources) at ~6.7% / ~45.6m shares — worth roughly R12bn at ~R261 (e) — so his incentive is dominated by the share price, not the ~R37m pay packet: classic founder alignment. (He runs collar/hedge arrangements and sold ~0.9m shares, ~2% of holding, in Dec 2025.)</w:t>
      </w:r>
    </w:p>
    <w:p>
      <w:pPr>
        <w:spacing w:after="150" w:before="0" w:line="264"/>
      </w:pPr>
      <w:r>
        <w:rPr>
          <w:b/>
          <w:bCs/>
          <w:color w:val="1F3864"/>
          <w:sz w:val="20"/>
          <w:szCs w:val="20"/>
        </w:rPr>
        <w:t xml:space="preserve">Shareholder support.  </w:t>
      </w:r>
      <w:r>
        <w:rPr>
          <w:sz w:val="20"/>
          <w:szCs w:val="20"/>
        </w:rPr>
        <w:t xml:space="preserve">At the November 2024 AGM the remuneration policy passed with 94.3% in favour and the implementation report 93.3% — healthy support on an improving three-year trend. The FY2025-AGM (20 Nov 2025) vote outcome was not retrievable this run (coverage gap).</w:t>
      </w:r>
    </w:p>
    <w:p>
      <w:pPr>
        <w:pStyle w:val="Heading1"/>
        <w:spacing w:after="140" w:before="280"/>
      </w:pPr>
      <w:r>
        <w:rPr>
          <w:b/>
          <w:bCs/>
          <w:color w:val="1F3864"/>
          <w:sz w:val="26"/>
          <w:szCs w:val="26"/>
        </w:rPr>
        <w:t xml:space="preserve">6.  The Strait of Hormuz — how it actually reaches Discovery</w:t>
      </w:r>
    </w:p>
    <w:p>
      <w:pPr>
        <w:spacing w:after="120" w:before="0" w:line="264"/>
      </w:pPr>
      <w:r>
        <w:rPr>
          <w:sz w:val="20"/>
          <w:szCs w:val="20"/>
        </w:rPr>
        <w:t xml:space="preserve">Discovery has no direct oil, shipping or commodity exposure. The Strait reaches it through six indirect channels, several of which offset each other — which is why Discovery is more scenario-balanced than a pure-domestic financial.</w:t>
      </w:r>
    </w:p>
    <w:p>
      <w:pPr>
        <w:pStyle w:val="ListParagraph"/>
        <w:numPr>
          <w:ilvl w:val="0"/>
          <w:numId w:val="2"/>
        </w:numPr>
        <w:spacing w:after="80" w:line="264"/>
      </w:pPr>
      <w:r>
        <w:rPr>
          <w:b/>
          <w:bCs/>
          <w:sz w:val="18"/>
          <w:szCs w:val="18"/>
        </w:rPr>
        <w:t xml:space="preserve">1) The SA consumer wallet. </w:t>
      </w:r>
      <w:r>
        <w:rPr>
          <w:sz w:val="20"/>
          <w:szCs w:val="20"/>
        </w:rPr>
        <w:t xml:space="preserve">Higher pump and food prices cut disposable income → higher lapses on Life/Insure, slower new business, lower Vitality engagement spend, and more Discovery Bank credit stress. This is the main negative channel in Scenario B.</w:t>
      </w:r>
    </w:p>
    <w:p>
      <w:pPr>
        <w:pStyle w:val="ListParagraph"/>
        <w:numPr>
          <w:ilvl w:val="0"/>
          <w:numId w:val="2"/>
        </w:numPr>
        <w:spacing w:after="80" w:line="264"/>
      </w:pPr>
      <w:r>
        <w:rPr>
          <w:b/>
          <w:bCs/>
          <w:sz w:val="18"/>
          <w:szCs w:val="18"/>
        </w:rPr>
        <w:t xml:space="preserve">2) The rand → offshore translation (the offset). </w:t>
      </w:r>
      <w:r>
        <w:rPr>
          <w:sz w:val="20"/>
          <w:szCs w:val="20"/>
        </w:rPr>
        <w:t xml:space="preserve">~21%+ of operating profit is £/RMB (VitalityHealth, VitalityLife, Ping An Health, Vitality Global). A weak rand (B) inflates the ZAR value of that fast-growing book; a firm rand (A) is a translation drag. This moves opposite to channel (1) — the weak-rand case that hurts the consumer flatters reported offshore earnings.</w:t>
      </w:r>
    </w:p>
    <w:p>
      <w:pPr>
        <w:pStyle w:val="ListParagraph"/>
        <w:numPr>
          <w:ilvl w:val="0"/>
          <w:numId w:val="2"/>
        </w:numPr>
        <w:spacing w:after="80" w:line="264"/>
      </w:pPr>
      <w:r>
        <w:rPr>
          <w:b/>
          <w:bCs/>
          <w:sz w:val="18"/>
          <w:szCs w:val="18"/>
        </w:rPr>
        <w:t xml:space="preserve">3) Interest rates → endowment. </w:t>
      </w:r>
      <w:r>
        <w:rPr>
          <w:sz w:val="20"/>
          <w:szCs w:val="20"/>
        </w:rPr>
        <w:t xml:space="preserve">Insurers earn an investment return on shareholder capital and policyholder float. Higher-for-longer rates (B) lift that endowment yield; cuts (A) compress it. A partial offset to the consumer drag in B.</w:t>
      </w:r>
    </w:p>
    <w:p>
      <w:pPr>
        <w:pStyle w:val="ListParagraph"/>
        <w:numPr>
          <w:ilvl w:val="0"/>
          <w:numId w:val="2"/>
        </w:numPr>
        <w:spacing w:after="80" w:line="264"/>
      </w:pPr>
      <w:r>
        <w:rPr>
          <w:b/>
          <w:bCs/>
          <w:sz w:val="18"/>
          <w:szCs w:val="18"/>
        </w:rPr>
        <w:t xml:space="preserve">4) Interest rates → bond mark-to-market. </w:t>
      </w:r>
      <w:r>
        <w:rPr>
          <w:sz w:val="20"/>
          <w:szCs w:val="20"/>
        </w:rPr>
        <w:t xml:space="preserve">Rising yields (B) mark down the insurance bond portfolios and pressure Discovery Life’s rate-sensitive embedded value; falling yields (A) deliver mark-to-market gains. This partly counters the endowment effect, so net rate sensitivity is a key (and two-sided) swing variable.</w:t>
      </w:r>
    </w:p>
    <w:p>
      <w:pPr>
        <w:pStyle w:val="ListParagraph"/>
        <w:numPr>
          <w:ilvl w:val="0"/>
          <w:numId w:val="2"/>
        </w:numPr>
        <w:spacing w:after="80" w:line="264"/>
      </w:pPr>
      <w:r>
        <w:rPr>
          <w:b/>
          <w:bCs/>
          <w:sz w:val="18"/>
          <w:szCs w:val="18"/>
        </w:rPr>
        <w:t xml:space="preserve">5) Equity markets → Discovery Invest. </w:t>
      </w:r>
      <w:r>
        <w:rPr>
          <w:sz w:val="20"/>
          <w:szCs w:val="20"/>
        </w:rPr>
        <w:t xml:space="preserve">Invest fees and value of new business track market levels and flows. Risk-off (B) pressures AUM; risk-on (A) helps.</w:t>
      </w:r>
    </w:p>
    <w:p>
      <w:pPr>
        <w:pStyle w:val="ListParagraph"/>
        <w:numPr>
          <w:ilvl w:val="0"/>
          <w:numId w:val="2"/>
        </w:numPr>
        <w:spacing w:after="80" w:line="264"/>
      </w:pPr>
      <w:r>
        <w:rPr>
          <w:b/>
          <w:bCs/>
          <w:sz w:val="18"/>
          <w:szCs w:val="18"/>
        </w:rPr>
        <w:t xml:space="preserve">6) The defensive anchor — Health. </w:t>
      </w:r>
      <w:r>
        <w:rPr>
          <w:sz w:val="20"/>
          <w:szCs w:val="20"/>
        </w:rPr>
        <w:t xml:space="preserve">Discovery Health’s ~R4.3bn of medical-scheme administration profit is annuity-like; households keep medical aid through downturns. It cushions both scenarios. (Its own risk is policy — NHI — not oil.)</w:t>
      </w:r>
    </w:p>
    <w:p>
      <w:pPr>
        <w:spacing w:after="120" w:before="0" w:line="264"/>
      </w:pPr>
      <w:r>
        <w:rPr>
          <w:b/>
          <w:bCs/>
          <w:color w:val="1F3864"/>
          <w:sz w:val="20"/>
          <w:szCs w:val="20"/>
        </w:rPr>
        <w:t xml:space="preserve">Scenario A in practice (Strait reopens).  </w:t>
      </w:r>
      <w:r>
        <w:rPr>
          <w:sz w:val="20"/>
          <w:szCs w:val="20"/>
        </w:rPr>
        <w:t xml:space="preserve">The SA franchise heals: lapses ease, the soft new-business book (API −2%) re-accelerates, Bank scales faster at lower credit risk, Invest AUM rises, and falling yields give bond gains. The drag: a firmer rand trims the ZAR value of the £/RMB book, and the endowment yield on capital compresses. On balance a cleaner business case for the franchise, but with a genuine offshore translation headwind that mutes reported group growth — and the share already sits near record highs.</w:t>
      </w:r>
    </w:p>
    <w:p>
      <w:pPr>
        <w:spacing w:after="120" w:before="0" w:line="264"/>
      </w:pPr>
      <w:r>
        <w:rPr>
          <w:b/>
          <w:bCs/>
          <w:color w:val="1F3864"/>
          <w:sz w:val="20"/>
          <w:szCs w:val="20"/>
        </w:rPr>
        <w:t xml:space="preserve">Scenario B in practice (Strait stays shut).  </w:t>
      </w:r>
      <w:r>
        <w:rPr>
          <w:sz w:val="20"/>
          <w:szCs w:val="20"/>
        </w:rPr>
        <w:t xml:space="preserve">The SA franchise is pressured — higher lapses, slower new business, rising Bank credit losses (with the young profitability at risk of stalling), weaker Invest AUM and bond mark-to-market losses. Against that: the weak rand is a translation tailwind on the +70%-growing offshore book, higher-for-longer rates lift the endowment, and Health’s annuity holds. The likely outcome is decelerating — not breaking — earnings growth, with the bigger risk being a de-rating of a premium stock in a risk-off SA tape.</w:t>
      </w:r>
    </w:p>
    <w:p>
      <w:pPr>
        <w:spacing w:after="150" w:before="0" w:line="264"/>
      </w:pPr>
      <w:r>
        <w:rPr>
          <w:b/>
          <w:bCs/>
          <w:color w:val="1F3864"/>
          <w:sz w:val="20"/>
          <w:szCs w:val="20"/>
        </w:rPr>
        <w:t xml:space="preserve">Net read.  </w:t>
      </w:r>
      <w:r>
        <w:rPr>
          <w:sz w:val="20"/>
          <w:szCs w:val="20"/>
        </w:rPr>
        <w:t xml:space="preserve">Discovery’s offsetting sensitivities make it a relatively defensive way to hold SA-consumer exposure into an oil shock: the same weak rand that squeezes its customer simultaneously inflates a fifth of its profit and lifts its endowment, while Health anchors the base. The franchise call therefore favours A modestly; the share-price call in B is dominated by the multiple (near all-time highs) rather than by earnings — and the NHI overhang sits behind both scenarios regardless of the oil price.</w:t>
      </w:r>
    </w:p>
    <w:p>
      <w:pPr>
        <w:pStyle w:val="Heading1"/>
        <w:spacing w:after="140" w:before="280"/>
      </w:pPr>
      <w:r>
        <w:rPr>
          <w:b/>
          <w:bCs/>
          <w:color w:val="1F3864"/>
          <w:sz w:val="26"/>
          <w:szCs w:val="26"/>
        </w:rPr>
        <w:t xml:space="preserve">7.  Risk flags</w:t>
      </w:r>
    </w:p>
    <w:p>
      <w:pPr>
        <w:pStyle w:val="ListParagraph"/>
        <w:numPr>
          <w:ilvl w:val="0"/>
          <w:numId w:val="2"/>
        </w:numPr>
        <w:spacing w:after="80" w:line="264"/>
      </w:pPr>
      <w:r>
        <w:rPr>
          <w:b/>
          <w:bCs/>
          <w:sz w:val="18"/>
          <w:szCs w:val="18"/>
        </w:rPr>
        <w:t xml:space="preserve">Audit / going concern: </w:t>
      </w:r>
      <w:r>
        <w:rPr>
          <w:sz w:val="20"/>
          <w:szCs w:val="20"/>
        </w:rPr>
        <w:t xml:space="preserve">clean — unmodified joint opinion (KPMG Inc. &amp; Deloitte &amp; Touche, 10 Sep 2025); no going-concern flag.</w:t>
      </w:r>
    </w:p>
    <w:p>
      <w:pPr>
        <w:pStyle w:val="ListParagraph"/>
        <w:numPr>
          <w:ilvl w:val="0"/>
          <w:numId w:val="2"/>
        </w:numPr>
        <w:spacing w:after="80" w:line="264"/>
      </w:pPr>
      <w:r>
        <w:rPr>
          <w:b/>
          <w:bCs/>
          <w:sz w:val="18"/>
          <w:szCs w:val="18"/>
        </w:rPr>
        <w:t xml:space="preserve">Restatement: </w:t>
      </w:r>
      <w:r>
        <w:rPr>
          <w:sz w:val="20"/>
          <w:szCs w:val="20"/>
        </w:rPr>
        <w:t xml:space="preserve">FY2024 comparatives restated (note D.1.1) — affects NAV, ROE, FLR and cash-conversion prior-year bases.</w:t>
      </w:r>
    </w:p>
    <w:p>
      <w:pPr>
        <w:pStyle w:val="ListParagraph"/>
        <w:numPr>
          <w:ilvl w:val="0"/>
          <w:numId w:val="2"/>
        </w:numPr>
        <w:spacing w:after="80" w:line="264"/>
      </w:pPr>
      <w:r>
        <w:rPr>
          <w:b/>
          <w:bCs/>
          <w:sz w:val="18"/>
          <w:szCs w:val="18"/>
        </w:rPr>
        <w:t xml:space="preserve">Discovery Health admin error: </w:t>
      </w:r>
      <w:r>
        <w:rPr>
          <w:sz w:val="20"/>
          <w:szCs w:val="20"/>
        </w:rPr>
        <w:t xml:space="preserve">a R125m pharmacy-claims write-off (&gt;16 000 DHMS members), absorbed by Discovery, cut H1 FY2026 Health profit growth from ~11% to ~5% — an operational / reputational watch item.</w:t>
      </w:r>
    </w:p>
    <w:p>
      <w:pPr>
        <w:pStyle w:val="ListParagraph"/>
        <w:numPr>
          <w:ilvl w:val="0"/>
          <w:numId w:val="2"/>
        </w:numPr>
        <w:spacing w:after="80" w:line="264"/>
      </w:pPr>
      <w:r>
        <w:rPr>
          <w:b/>
          <w:bCs/>
          <w:sz w:val="18"/>
          <w:szCs w:val="18"/>
        </w:rPr>
        <w:t xml:space="preserve">NHI overhang: </w:t>
      </w:r>
      <w:r>
        <w:rPr>
          <w:sz w:val="20"/>
          <w:szCs w:val="20"/>
        </w:rPr>
        <w:t xml:space="preserve">National Health Insurance remains a structural policy risk to Discovery Health / DHMS administration economics — independent of the oil scenario.</w:t>
      </w:r>
    </w:p>
    <w:p>
      <w:pPr>
        <w:pStyle w:val="ListParagraph"/>
        <w:numPr>
          <w:ilvl w:val="0"/>
          <w:numId w:val="2"/>
        </w:numPr>
        <w:spacing w:after="80" w:line="264"/>
      </w:pPr>
      <w:r>
        <w:rPr>
          <w:b/>
          <w:bCs/>
          <w:sz w:val="18"/>
          <w:szCs w:val="18"/>
        </w:rPr>
        <w:t xml:space="preserve">FX translation swing: </w:t>
      </w:r>
      <w:r>
        <w:rPr>
          <w:sz w:val="20"/>
          <w:szCs w:val="20"/>
        </w:rPr>
        <w:t xml:space="preserve">large GBP/RMB earnings translated to ZAR; a tailwind in B, a headwind in A — material to reported growth either way.</w:t>
      </w:r>
    </w:p>
    <w:p>
      <w:pPr>
        <w:pStyle w:val="ListParagraph"/>
        <w:numPr>
          <w:ilvl w:val="0"/>
          <w:numId w:val="2"/>
        </w:numPr>
        <w:spacing w:after="80" w:line="264"/>
      </w:pPr>
      <w:r>
        <w:rPr>
          <w:b/>
          <w:bCs/>
          <w:sz w:val="18"/>
          <w:szCs w:val="18"/>
        </w:rPr>
        <w:t xml:space="preserve">New-business softness: </w:t>
      </w:r>
      <w:r>
        <w:rPr>
          <w:sz w:val="20"/>
          <w:szCs w:val="20"/>
        </w:rPr>
        <w:t xml:space="preserve">total API −2% (Health −14%, Life −10%) — affluent retail protection is soft; a Scenario-B consumer would extend this.</w:t>
      </w:r>
    </w:p>
    <w:p>
      <w:pPr>
        <w:pStyle w:val="ListParagraph"/>
        <w:numPr>
          <w:ilvl w:val="0"/>
          <w:numId w:val="2"/>
        </w:numPr>
        <w:spacing w:after="80" w:line="264"/>
      </w:pPr>
      <w:r>
        <w:rPr>
          <w:b/>
          <w:bCs/>
          <w:sz w:val="18"/>
          <w:szCs w:val="18"/>
        </w:rPr>
        <w:t xml:space="preserve">Valuation / multiple: </w:t>
      </w:r>
      <w:r>
        <w:rPr>
          <w:sz w:val="20"/>
          <w:szCs w:val="20"/>
        </w:rPr>
        <w:t xml:space="preserve">near all-time highs at ~17.8x normalised earnings / ~1.4x EV (e) — de-rating risk if SA growth stalls.</w:t>
      </w:r>
    </w:p>
    <w:p>
      <w:pPr>
        <w:pStyle w:val="ListParagraph"/>
        <w:numPr>
          <w:ilvl w:val="0"/>
          <w:numId w:val="2"/>
        </w:numPr>
        <w:spacing w:after="80" w:line="264"/>
      </w:pPr>
      <w:r>
        <w:rPr>
          <w:b/>
          <w:bCs/>
          <w:sz w:val="18"/>
          <w:szCs w:val="18"/>
        </w:rPr>
        <w:t xml:space="preserve">Pay trajectory: </w:t>
      </w:r>
      <w:r>
        <w:rPr>
          <w:sz w:val="20"/>
          <w:szCs w:val="20"/>
        </w:rPr>
        <w:t xml:space="preserve">executive remuneration rising and OPSI-driven; the divisional CEO out-earns the founder — monitor at the FY2025 AGM vote.</w:t>
      </w:r>
    </w:p>
    <w:p>
      <w:pPr>
        <w:pStyle w:val="Heading1"/>
        <w:spacing w:after="140" w:before="280"/>
      </w:pPr>
      <w:r>
        <w:rPr>
          <w:b/>
          <w:bCs/>
          <w:color w:val="1F3864"/>
          <w:sz w:val="26"/>
          <w:szCs w:val="26"/>
        </w:rPr>
        <w:t xml:space="preserve">8.  Questions for management</w:t>
      </w:r>
    </w:p>
    <w:p>
      <w:pPr>
        <w:pStyle w:val="ListParagraph"/>
        <w:numPr>
          <w:ilvl w:val="0"/>
          <w:numId w:val="3"/>
        </w:numPr>
        <w:spacing w:after="80" w:line="264"/>
      </w:pPr>
      <w:r>
        <w:rPr>
          <w:sz w:val="20"/>
          <w:szCs w:val="20"/>
        </w:rPr>
        <w:t xml:space="preserve">With the Bank now profitable (H1 FY2026 +R75m), what is the medium-term contribution/ROE target, and how sensitive is the credit-loss trajectory to a higher-for-longer (~8%+) SARB path?</w:t>
      </w:r>
    </w:p>
    <w:p>
      <w:pPr>
        <w:pStyle w:val="ListParagraph"/>
        <w:numPr>
          <w:ilvl w:val="0"/>
          <w:numId w:val="3"/>
        </w:numPr>
        <w:spacing w:after="80" w:line="264"/>
      </w:pPr>
      <w:r>
        <w:rPr>
          <w:sz w:val="20"/>
          <w:szCs w:val="20"/>
        </w:rPr>
        <w:t xml:space="preserve">How much of the FY2025 +29% operating-profit growth do you regard as repeatable versus one-off recovery (Insure +229%, VitalityHealth +173%, the SA one-off cost unwind)?</w:t>
      </w:r>
    </w:p>
    <w:p>
      <w:pPr>
        <w:pStyle w:val="ListParagraph"/>
        <w:numPr>
          <w:ilvl w:val="0"/>
          <w:numId w:val="3"/>
        </w:numPr>
        <w:spacing w:after="80" w:line="264"/>
      </w:pPr>
      <w:r>
        <w:rPr>
          <w:sz w:val="20"/>
          <w:szCs w:val="20"/>
        </w:rPr>
        <w:t xml:space="preserve">Quantify the group’s net rand sensitivity: what share of normalised operating profit is GBP/RMB-denominated, and what is the translation impact of a 10% rand move?</w:t>
      </w:r>
    </w:p>
    <w:p>
      <w:pPr>
        <w:pStyle w:val="ListParagraph"/>
        <w:numPr>
          <w:ilvl w:val="0"/>
          <w:numId w:val="3"/>
        </w:numPr>
        <w:spacing w:after="80" w:line="264"/>
      </w:pPr>
      <w:r>
        <w:rPr>
          <w:sz w:val="20"/>
          <w:szCs w:val="20"/>
        </w:rPr>
        <w:t xml:space="preserve">Given Executive-Director deferred shares vest on continued employment with no further performance conditions, how does the board ensure long-term value alignment beyond the annual scorecard and the minimum shareholding requirement?</w:t>
      </w:r>
    </w:p>
    <w:p>
      <w:pPr>
        <w:pStyle w:val="ListParagraph"/>
        <w:numPr>
          <w:ilvl w:val="0"/>
          <w:numId w:val="3"/>
        </w:numPr>
        <w:spacing w:after="80" w:line="264"/>
      </w:pPr>
      <w:r>
        <w:rPr>
          <w:sz w:val="20"/>
          <w:szCs w:val="20"/>
        </w:rPr>
        <w:t xml:space="preserve">What is the latest on NHI, and how would phased implementation affect Discovery Health / DHMS administration economics over the outlook period?</w:t>
      </w:r>
    </w:p>
    <w:p>
      <w:pPr>
        <w:pBdr>
          <w:bottom w:val="single" w:color="1F3864" w:sz="6" w:space="1"/>
        </w:pBdr>
        <w:spacing w:after="60" w:before="60"/>
      </w:pPr>
      <w:r>
        <w:t xml:space="preserve"/>
      </w:r>
    </w:p>
    <w:p>
      <w:pPr>
        <w:spacing w:after="60" w:before="80"/>
      </w:pPr>
      <w:r>
        <w:rPr>
          <w:b/>
          <w:bCs/>
          <w:color w:val="1F3864"/>
          <w:sz w:val="20"/>
          <w:szCs w:val="20"/>
        </w:rPr>
        <w:t xml:space="preserve">Sources, basis &amp; compliance</w:t>
      </w:r>
    </w:p>
    <w:p>
      <w:pPr>
        <w:spacing w:after="80" w:before="0" w:line="264"/>
      </w:pPr>
      <w:r>
        <w:rPr>
          <w:color w:val="595959"/>
          <w:sz w:val="16"/>
          <w:szCs w:val="16"/>
        </w:rPr>
        <w:t xml:space="preserve">Company figures: Discovery Limited FY2025 audited results announcement (SENS, 11 September 2025) and FY2025 Remuneration Report; H1 FY2026 (to 31 Dec 2025) headline figures from a secondary source pending primary verification. Macro: Strait of Hormuz status and oil per Bloomberg / PBS / Al Jazeera / CSIS (June 2026); Brent per TradingEconomics / Fortune (≈$79, 17 Jun 2026); SARB repo 7.00% (hiked +25bps late May 2026) and SA CPI 4.0% (April) per Moneyweb / News24 / CNBC Africa; share price/market cap per stockanalysis.com / Moneyweb (search-sourced, delayed).</w:t>
      </w:r>
    </w:p>
    <w:p>
      <w:pPr>
        <w:spacing w:after="80" w:before="0" w:line="264"/>
      </w:pPr>
      <w:r>
        <w:rPr>
          <w:color w:val="595959"/>
          <w:sz w:val="16"/>
          <w:szCs w:val="16"/>
        </w:rPr>
        <w:t xml:space="preserve">Basis &amp; caveats: For informational purposes only — not investment advice; Discovery is not a registered-adviser recommendation. Figures marked (e) are analyst calculations. Share prices are search-sourced and delayed (no live JSE feed). Dealing note: Discovery’s FY2026 year-end is 30 June 2026, so the company enters its results close/closed period imminently (≈1 July to ~mid-September) — confirm the fund’s dealing status before trading. Scenario macro levels are assumptions held consistent with the fund’s Shoprite / Gold Fields / Capitec notes, not forecasts.</w:t>
      </w:r>
    </w:p>
    <w:p>
      <w:pPr>
        <w:spacing w:after="40" w:before="0" w:line="264"/>
      </w:pPr>
      <w:r>
        <w:rPr>
          <w:color w:val="595959"/>
          <w:sz w:val="16"/>
          <w:szCs w:val="16"/>
        </w:rPr>
        <w:t xml:space="preserve">Quick-mode coverage gaps (for a later deep run): (1) originals saved as text extracts, not validated binary PDFs (JSE senspdf / IR PDFs time out via available tools); (2) FY2025 results presentation &amp; analyst pack (EV/VNB/solvency tables), group VNB &amp; VNB margin, group SCR cover and dividend payout ratio not retrieved; (3) H1 FY2026 interim only lightly noted from a secondary source; (4) Gore’s exact shareholding and the FY2025-AGM remuneration vote not in retrieved primaries; (5) skipped (quick): full SENS history, trading statements, prior-year docs, ESG report; jse-discovery company skill not yet generated.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2026-06-17T17:48:13.804Z</dcterms:created>
  <dcterms:modified xsi:type="dcterms:W3CDTF">2026-06-17T17:48:13.804Z</dcterms:modified>
</cp:coreProperties>
</file>

<file path=docProps/custom.xml><?xml version="1.0" encoding="utf-8"?>
<Properties xmlns="http://schemas.openxmlformats.org/officeDocument/2006/custom-properties" xmlns:vt="http://schemas.openxmlformats.org/officeDocument/2006/docPropsVTypes"/>
</file>