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55555"/>
          <w:sz w:val="18"/>
        </w:rPr>
        <w:t>EQUITY RESEARCH — INTERNAL</w:t>
      </w:r>
    </w:p>
    <w:p>
      <w:pPr>
        <w:spacing w:after="0"/>
      </w:pPr>
      <w:r>
        <w:rPr>
          <w:b/>
          <w:color w:val="1F3349"/>
          <w:sz w:val="40"/>
        </w:rPr>
        <w:t>Woolworths Holdings Limited (JSE: WHL)</w:t>
      </w:r>
    </w:p>
    <w:p>
      <w:pPr>
        <w:spacing w:after="120"/>
      </w:pPr>
      <w:r>
        <w:rPr>
          <w:i/>
          <w:color w:val="2E75B6"/>
          <w:sz w:val="24"/>
        </w:rPr>
        <w:t>12–18 Month Forward View: Outlook, Incentives, Risks, Growth &amp; Rand Sensitivity</w:t>
      </w:r>
    </w:p>
    <w:p>
      <w:pPr>
        <w:spacing w:after="40"/>
      </w:pPr>
      <w:r>
        <w:rPr>
          <w:color w:val="555555"/>
          <w:sz w:val="17"/>
        </w:rPr>
        <w:t>Prepared 5 June 2026  |  Sector: Retail (Food + Apparel/Beauty/Home; SA &amp; Australia)  |  FY-end: late June  |  Reporting currency: ZAR (CRG in AUD)</w:t>
      </w:r>
    </w:p>
    <w:p>
      <w:pPr>
        <w:pBdr>
          <w:bottom w:val="single" w:sz="12" w:space="1" w:color="1F3349"/>
        </w:pBdr>
        <w:spacing w:after="40"/>
      </w:pPr>
    </w:p>
    <w:p>
      <w:pPr>
        <w:spacing w:before="240" w:after="80"/>
        <w:pBdr>
          <w:bottom w:val="single" w:sz="6" w:space="2" w:color="2E75B6"/>
        </w:pBdr>
      </w:pPr>
      <w:r>
        <w:rPr>
          <w:rFonts w:ascii="Calibri" w:hAnsi="Calibri"/>
          <w:b/>
          <w:color w:val="1F3349"/>
          <w:sz w:val="28"/>
        </w:rPr>
        <w:t>Executive Summary</w:t>
      </w:r>
    </w:p>
    <w:p>
      <w:pPr>
        <w:spacing w:after="120" w:line="259" w:lineRule="auto"/>
      </w:pPr>
      <w:r>
        <w:rPr>
          <w:sz w:val="21"/>
        </w:rPr>
        <w:t>Woolworths Holdings enters the next 12–18 months on an improving earnings trajectory after two years of heavy investment and restructuring. H1 FY2026 (26 weeks to 28 December 2025) showed the inflection management has been promising: group turnover and concession sales rose 5.4% to R42.5bn (+6.1% constant currency), adjusted EBITDA +3.2% to R4.6bn, and headline earnings per share (HEPS) +9.6% to 167.4cps — a clear recovery from FY2025, when HEPS fell 23.9% on a continuing-operations basis. The engine remains the SA Food business (~65% of group sales, ROCE north of 40%), which continues to take market share; Fashion, Beauty &amp; Home (FBH) has returned to positive volume growth; and the Australian Country Road Group (CRG) has stabilised after a torrid FY2025.</w:t>
      </w:r>
    </w:p>
    <w:p>
      <w:pPr>
        <w:spacing w:after="120" w:line="259" w:lineRule="auto"/>
      </w:pPr>
      <w:r>
        <w:rPr>
          <w:sz w:val="21"/>
        </w:rPr>
        <w:t>Base case: we expect WHL to deliver low-to-mid single-digit group sales growth and a return to positive HEPS growth for FY2026 (results due ~3 September 2026), consistent with management’s guidance for “an improvement in the Group’s overall financial performance for the year.” Sell-side consensus is constructive (“Outperform”, ~R60 12-month target vs. ~R50.65 mid-May 2026, ~19% implied upside). The principal swing factors are FBH gross-margin recovery, the durability of the CRG turnaround in a weak Australian consumer market, and the pace of SA interest-rate relief feeding discretionary spend. A 10–15% rand depreciation vs. the USD is a manageable, lagged headwind — negative for FBH/Food import costs but partly offset by translation of CRG’s AUD earnings and Australian net cash; the larger risk is the indirect demand hit if imported inflation slows SA rate cuts.</w:t>
      </w:r>
    </w:p>
    <w:p>
      <w:pPr>
        <w:spacing w:before="240" w:after="80"/>
        <w:pBdr>
          <w:bottom w:val="single" w:sz="6" w:space="2" w:color="2E75B6"/>
        </w:pBdr>
      </w:pPr>
      <w:r>
        <w:rPr>
          <w:rFonts w:ascii="Calibri" w:hAnsi="Calibri"/>
          <w:b/>
          <w:color w:val="1F3349"/>
          <w:sz w:val="28"/>
        </w:rPr>
        <w:t>1.  Forward Outlook — Next 12–18 Months</w:t>
      </w:r>
    </w:p>
    <w:p>
      <w:pPr>
        <w:spacing w:before="160" w:after="40"/>
      </w:pPr>
      <w:r>
        <w:rPr>
          <w:b/>
          <w:color w:val="2E75B6"/>
          <w:sz w:val="22"/>
        </w:rPr>
        <w:t>Management’s own guidance (H1 FY2026 statement, 3 March 2026)</w:t>
      </w:r>
    </w:p>
    <w:p>
      <w:pPr>
        <w:pStyle w:val="ListBullet"/>
        <w:spacing w:after="60"/>
      </w:pPr>
      <w:r>
        <w:rPr>
          <w:sz w:val="21"/>
        </w:rPr>
        <w:t>South Africa: macro “showing positive early signs of recovery” — easing inflation and the rate-cutting cycle support a gradual discretionary-spend recovery.</w:t>
      </w:r>
    </w:p>
    <w:p>
      <w:pPr>
        <w:pStyle w:val="ListBullet"/>
        <w:spacing w:after="60"/>
      </w:pPr>
      <w:r>
        <w:rPr>
          <w:sz w:val="21"/>
        </w:rPr>
        <w:t>Australia: inflationary pressure plus a recent RBA rate hike “likely to further weaken consumer confidence,” tempering any CRG recovery; prolonged discounting continues to pressure footfall.</w:t>
      </w:r>
    </w:p>
    <w:p>
      <w:pPr>
        <w:pStyle w:val="ListBullet"/>
        <w:spacing w:after="60"/>
      </w:pPr>
      <w:r>
        <w:rPr>
          <w:sz w:val="21"/>
        </w:rPr>
        <w:t>Group: “remain confident in our ability to deliver an improvement in the Group’s overall financial performance for the year” (FY2026). Capital allocation to be refined toward “returns-accretive investments.” (Explicitly not an earnings forecast; not audited.)</w:t>
      </w:r>
    </w:p>
    <w:p>
      <w:pPr>
        <w:spacing w:before="160" w:after="40"/>
      </w:pPr>
      <w:r>
        <w:rPr>
          <w:b/>
          <w:color w:val="2E75B6"/>
          <w:sz w:val="22"/>
        </w:rPr>
        <w:t>Our read of the trajectory</w:t>
      </w:r>
    </w:p>
    <w:p>
      <w:pPr>
        <w:spacing w:after="120" w:line="259" w:lineRule="auto"/>
      </w:pPr>
      <w:r>
        <w:rPr>
          <w:sz w:val="21"/>
        </w:rPr>
        <w:t>The investment cycle (Midrand DC expansion, FBH value-chain transformation, CRG operating-model reset) is largely behind the group, which should convert topline growth into operating leverage from FY2026 into FY2027. Near-term gross margins remain pressured by depreciation from the Midrand DC, channel mix (faster growth of lower-margin online), targeted price investment, and clearance of excess inventory — but these are self-help, transitional drags rather than structural. The 70% dividend payout and an active share buyback (6.9m shares repurchased in H1 at ~R51.23) signal management confidence in cash generation (H1 cash conversion 109.8%).</w:t>
      </w:r>
    </w:p>
    <w:p>
      <w:pPr>
        <w:spacing w:before="240" w:after="80"/>
        <w:pBdr>
          <w:bottom w:val="single" w:sz="6" w:space="2" w:color="2E75B6"/>
        </w:pBdr>
      </w:pPr>
      <w:r>
        <w:rPr>
          <w:rFonts w:ascii="Calibri" w:hAnsi="Calibri"/>
          <w:b/>
          <w:color w:val="1F3349"/>
          <w:sz w:val="28"/>
        </w:rPr>
        <w:t>2.  Standardised Metrics</w:t>
      </w:r>
    </w:p>
    <w:p>
      <w:pPr>
        <w:spacing w:before="160" w:after="40"/>
      </w:pPr>
      <w:r>
        <w:rPr>
          <w:b/>
          <w:color w:val="2E75B6"/>
          <w:sz w:val="22"/>
        </w:rPr>
        <w:t>Group — H1 FY2026 (26 wks to 28 Dec 2025) vs H1 FY2025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176"/>
            <w:shd w:val="clear" w:color="auto" w:fill="1F3349"/>
          </w:tcPr>
          <w:p>
            <w:pPr>
              <w:spacing w:after="20" w:before="20"/>
            </w:pPr>
            <w:r/>
            <w:r>
              <w:rPr>
                <w:rFonts w:ascii="Calibri" w:hAnsi="Calibri"/>
                <w:b/>
                <w:color w:val="FFFFFF"/>
                <w:sz w:val="19"/>
              </w:rPr>
              <w:t>Metric</w:t>
            </w:r>
          </w:p>
        </w:tc>
        <w:tc>
          <w:tcPr>
            <w:tcW w:type="dxa" w:w="2016"/>
            <w:shd w:val="clear" w:color="auto" w:fill="1F3349"/>
          </w:tcPr>
          <w:p>
            <w:pPr>
              <w:spacing w:after="20" w:before="20"/>
              <w:jc w:val="right"/>
            </w:pPr>
            <w:r/>
            <w:r>
              <w:rPr>
                <w:rFonts w:ascii="Calibri" w:hAnsi="Calibri"/>
                <w:b/>
                <w:color w:val="FFFFFF"/>
                <w:sz w:val="19"/>
              </w:rPr>
              <w:t>H1 FY2026</w:t>
            </w:r>
          </w:p>
        </w:tc>
        <w:tc>
          <w:tcPr>
            <w:tcW w:type="dxa" w:w="2016"/>
            <w:shd w:val="clear" w:color="auto" w:fill="1F3349"/>
          </w:tcPr>
          <w:p>
            <w:pPr>
              <w:spacing w:after="20" w:before="20"/>
              <w:jc w:val="right"/>
            </w:pPr>
            <w:r/>
            <w:r>
              <w:rPr>
                <w:rFonts w:ascii="Calibri" w:hAnsi="Calibri"/>
                <w:b/>
                <w:color w:val="FFFFFF"/>
                <w:sz w:val="19"/>
              </w:rPr>
              <w:t>H1 FY2025</w:t>
            </w:r>
          </w:p>
        </w:tc>
        <w:tc>
          <w:tcPr>
            <w:tcW w:type="dxa" w:w="2448"/>
            <w:shd w:val="clear" w:color="auto" w:fill="1F3349"/>
          </w:tcPr>
          <w:p>
            <w:pPr>
              <w:spacing w:after="20" w:before="20"/>
              <w:jc w:val="right"/>
            </w:pPr>
            <w:r/>
            <w:r>
              <w:rPr>
                <w:rFonts w:ascii="Calibri" w:hAnsi="Calibri"/>
                <w:b/>
                <w:color w:val="FFFFFF"/>
                <w:sz w:val="19"/>
              </w:rPr>
              <w:t>Change</w:t>
            </w:r>
          </w:p>
        </w:tc>
      </w:tr>
      <w:tr>
        <w:tc>
          <w:tcPr>
            <w:tcW w:type="dxa" w:w="4176"/>
          </w:tcPr>
          <w:p>
            <w:pPr>
              <w:spacing w:after="20" w:before="20"/>
            </w:pPr>
            <w:r/>
            <w:r>
              <w:rPr>
                <w:rFonts w:ascii="Calibri" w:hAnsi="Calibri"/>
                <w:b/>
                <w:sz w:val="19"/>
              </w:rPr>
              <w:t>Turnover &amp; concession sales</w:t>
            </w:r>
          </w:p>
        </w:tc>
        <w:tc>
          <w:tcPr>
            <w:tcW w:type="dxa" w:w="2016"/>
          </w:tcPr>
          <w:p>
            <w:pPr>
              <w:spacing w:after="20" w:before="20"/>
              <w:jc w:val="right"/>
            </w:pPr>
            <w:r/>
            <w:r>
              <w:rPr>
                <w:rFonts w:ascii="Calibri" w:hAnsi="Calibri"/>
                <w:b w:val="0"/>
                <w:sz w:val="19"/>
              </w:rPr>
              <w:t>R42.5bn</w:t>
            </w:r>
          </w:p>
        </w:tc>
        <w:tc>
          <w:tcPr>
            <w:tcW w:type="dxa" w:w="2016"/>
          </w:tcPr>
          <w:p>
            <w:pPr>
              <w:spacing w:after="20" w:before="20"/>
              <w:jc w:val="right"/>
            </w:pPr>
            <w:r/>
            <w:r>
              <w:rPr>
                <w:rFonts w:ascii="Calibri" w:hAnsi="Calibri"/>
                <w:b w:val="0"/>
                <w:sz w:val="19"/>
              </w:rPr>
              <w:t>R40.3bn (e)</w:t>
            </w:r>
          </w:p>
        </w:tc>
        <w:tc>
          <w:tcPr>
            <w:tcW w:type="dxa" w:w="2448"/>
          </w:tcPr>
          <w:p>
            <w:pPr>
              <w:spacing w:after="20" w:before="20"/>
              <w:jc w:val="right"/>
            </w:pPr>
            <w:r/>
            <w:r>
              <w:rPr>
                <w:rFonts w:ascii="Calibri" w:hAnsi="Calibri"/>
                <w:b w:val="0"/>
                <w:sz w:val="19"/>
              </w:rPr>
              <w:t>+5.4% (+6.1% cc)</w:t>
            </w:r>
          </w:p>
        </w:tc>
      </w:tr>
      <w:tr>
        <w:tc>
          <w:tcPr>
            <w:tcW w:type="dxa" w:w="4176"/>
            <w:shd w:val="clear" w:color="auto" w:fill="F2F5F8"/>
          </w:tcPr>
          <w:p>
            <w:pPr>
              <w:spacing w:after="20" w:before="20"/>
            </w:pPr>
            <w:r/>
            <w:r>
              <w:rPr>
                <w:rFonts w:ascii="Calibri" w:hAnsi="Calibri"/>
                <w:b/>
                <w:sz w:val="19"/>
              </w:rPr>
              <w:t>Adjusted EBITDA</w:t>
            </w:r>
          </w:p>
        </w:tc>
        <w:tc>
          <w:tcPr>
            <w:tcW w:type="dxa" w:w="2016"/>
            <w:shd w:val="clear" w:color="auto" w:fill="F2F5F8"/>
          </w:tcPr>
          <w:p>
            <w:pPr>
              <w:spacing w:after="20" w:before="20"/>
              <w:jc w:val="right"/>
            </w:pPr>
            <w:r/>
            <w:r>
              <w:rPr>
                <w:rFonts w:ascii="Calibri" w:hAnsi="Calibri"/>
                <w:b w:val="0"/>
                <w:sz w:val="19"/>
              </w:rPr>
              <w:t>R4.6bn</w:t>
            </w:r>
          </w:p>
        </w:tc>
        <w:tc>
          <w:tcPr>
            <w:tcW w:type="dxa" w:w="2016"/>
            <w:shd w:val="clear" w:color="auto" w:fill="F2F5F8"/>
          </w:tcPr>
          <w:p>
            <w:pPr>
              <w:spacing w:after="20" w:before="20"/>
              <w:jc w:val="right"/>
            </w:pPr>
            <w:r/>
            <w:r>
              <w:rPr>
                <w:rFonts w:ascii="Calibri" w:hAnsi="Calibri"/>
                <w:b w:val="0"/>
                <w:sz w:val="19"/>
              </w:rPr>
              <w:t>—</w:t>
            </w:r>
          </w:p>
        </w:tc>
        <w:tc>
          <w:tcPr>
            <w:tcW w:type="dxa" w:w="2448"/>
            <w:shd w:val="clear" w:color="auto" w:fill="F2F5F8"/>
          </w:tcPr>
          <w:p>
            <w:pPr>
              <w:spacing w:after="20" w:before="20"/>
              <w:jc w:val="right"/>
            </w:pPr>
            <w:r/>
            <w:r>
              <w:rPr>
                <w:rFonts w:ascii="Calibri" w:hAnsi="Calibri"/>
                <w:b w:val="0"/>
                <w:sz w:val="19"/>
              </w:rPr>
              <w:t>+3.2%</w:t>
            </w:r>
          </w:p>
        </w:tc>
      </w:tr>
      <w:tr>
        <w:tc>
          <w:tcPr>
            <w:tcW w:type="dxa" w:w="4176"/>
          </w:tcPr>
          <w:p>
            <w:pPr>
              <w:spacing w:after="20" w:before="20"/>
            </w:pPr>
            <w:r/>
            <w:r>
              <w:rPr>
                <w:rFonts w:ascii="Calibri" w:hAnsi="Calibri"/>
                <w:b/>
                <w:sz w:val="19"/>
              </w:rPr>
              <w:t>Adjusted EBIT</w:t>
            </w:r>
          </w:p>
        </w:tc>
        <w:tc>
          <w:tcPr>
            <w:tcW w:type="dxa" w:w="2016"/>
          </w:tcPr>
          <w:p>
            <w:pPr>
              <w:spacing w:after="20" w:before="20"/>
              <w:jc w:val="right"/>
            </w:pPr>
            <w:r/>
            <w:r>
              <w:rPr>
                <w:rFonts w:ascii="Calibri" w:hAnsi="Calibri"/>
                <w:b w:val="0"/>
                <w:sz w:val="19"/>
              </w:rPr>
              <w:t>R2.9bn</w:t>
            </w:r>
          </w:p>
        </w:tc>
        <w:tc>
          <w:tcPr>
            <w:tcW w:type="dxa" w:w="2016"/>
          </w:tcPr>
          <w:p>
            <w:pPr>
              <w:spacing w:after="20" w:before="20"/>
              <w:jc w:val="right"/>
            </w:pPr>
            <w:r/>
            <w:r>
              <w:rPr>
                <w:rFonts w:ascii="Calibri" w:hAnsi="Calibri"/>
                <w:b w:val="0"/>
                <w:sz w:val="19"/>
              </w:rPr>
              <w:t>—</w:t>
            </w:r>
          </w:p>
        </w:tc>
        <w:tc>
          <w:tcPr>
            <w:tcW w:type="dxa" w:w="2448"/>
          </w:tcPr>
          <w:p>
            <w:pPr>
              <w:spacing w:after="20" w:before="20"/>
              <w:jc w:val="right"/>
            </w:pPr>
            <w:r/>
            <w:r>
              <w:rPr>
                <w:rFonts w:ascii="Calibri" w:hAnsi="Calibri"/>
                <w:b w:val="0"/>
                <w:sz w:val="19"/>
              </w:rPr>
              <w:t>+2.5%</w:t>
            </w:r>
          </w:p>
        </w:tc>
      </w:tr>
      <w:tr>
        <w:tc>
          <w:tcPr>
            <w:tcW w:type="dxa" w:w="4176"/>
            <w:shd w:val="clear" w:color="auto" w:fill="F2F5F8"/>
          </w:tcPr>
          <w:p>
            <w:pPr>
              <w:spacing w:after="20" w:before="20"/>
            </w:pPr>
            <w:r/>
            <w:r>
              <w:rPr>
                <w:rFonts w:ascii="Calibri" w:hAnsi="Calibri"/>
                <w:b/>
                <w:sz w:val="19"/>
              </w:rPr>
              <w:t>HEPS (cents)</w:t>
            </w:r>
          </w:p>
        </w:tc>
        <w:tc>
          <w:tcPr>
            <w:tcW w:type="dxa" w:w="2016"/>
            <w:shd w:val="clear" w:color="auto" w:fill="F2F5F8"/>
          </w:tcPr>
          <w:p>
            <w:pPr>
              <w:spacing w:after="20" w:before="20"/>
              <w:jc w:val="right"/>
            </w:pPr>
            <w:r/>
            <w:r>
              <w:rPr>
                <w:rFonts w:ascii="Calibri" w:hAnsi="Calibri"/>
                <w:b w:val="0"/>
                <w:sz w:val="19"/>
              </w:rPr>
              <w:t>167.4</w:t>
            </w:r>
          </w:p>
        </w:tc>
        <w:tc>
          <w:tcPr>
            <w:tcW w:type="dxa" w:w="2016"/>
            <w:shd w:val="clear" w:color="auto" w:fill="F2F5F8"/>
          </w:tcPr>
          <w:p>
            <w:pPr>
              <w:spacing w:after="20" w:before="20"/>
              <w:jc w:val="right"/>
            </w:pPr>
            <w:r/>
            <w:r>
              <w:rPr>
                <w:rFonts w:ascii="Calibri" w:hAnsi="Calibri"/>
                <w:b w:val="0"/>
                <w:sz w:val="19"/>
              </w:rPr>
              <w:t>152.7 (e)</w:t>
            </w:r>
          </w:p>
        </w:tc>
        <w:tc>
          <w:tcPr>
            <w:tcW w:type="dxa" w:w="2448"/>
            <w:shd w:val="clear" w:color="auto" w:fill="F2F5F8"/>
          </w:tcPr>
          <w:p>
            <w:pPr>
              <w:spacing w:after="20" w:before="20"/>
              <w:jc w:val="right"/>
            </w:pPr>
            <w:r/>
            <w:r>
              <w:rPr>
                <w:rFonts w:ascii="Calibri" w:hAnsi="Calibri"/>
                <w:b w:val="0"/>
                <w:sz w:val="19"/>
              </w:rPr>
              <w:t>+9.6%</w:t>
            </w:r>
          </w:p>
        </w:tc>
      </w:tr>
      <w:tr>
        <w:tc>
          <w:tcPr>
            <w:tcW w:type="dxa" w:w="4176"/>
          </w:tcPr>
          <w:p>
            <w:pPr>
              <w:spacing w:after="20" w:before="20"/>
            </w:pPr>
            <w:r/>
            <w:r>
              <w:rPr>
                <w:rFonts w:ascii="Calibri" w:hAnsi="Calibri"/>
                <w:b/>
                <w:sz w:val="19"/>
              </w:rPr>
              <w:t>Adj. diluted HEPS (cents)</w:t>
            </w:r>
          </w:p>
        </w:tc>
        <w:tc>
          <w:tcPr>
            <w:tcW w:type="dxa" w:w="2016"/>
          </w:tcPr>
          <w:p>
            <w:pPr>
              <w:spacing w:after="20" w:before="20"/>
              <w:jc w:val="right"/>
            </w:pPr>
            <w:r/>
            <w:r>
              <w:rPr>
                <w:rFonts w:ascii="Calibri" w:hAnsi="Calibri"/>
                <w:b w:val="0"/>
                <w:sz w:val="19"/>
              </w:rPr>
              <w:t>170.3</w:t>
            </w:r>
          </w:p>
        </w:tc>
        <w:tc>
          <w:tcPr>
            <w:tcW w:type="dxa" w:w="2016"/>
          </w:tcPr>
          <w:p>
            <w:pPr>
              <w:spacing w:after="20" w:before="20"/>
              <w:jc w:val="right"/>
            </w:pPr>
            <w:r/>
            <w:r>
              <w:rPr>
                <w:rFonts w:ascii="Calibri" w:hAnsi="Calibri"/>
                <w:b w:val="0"/>
                <w:sz w:val="19"/>
              </w:rPr>
              <w:t>169.1 (e)</w:t>
            </w:r>
          </w:p>
        </w:tc>
        <w:tc>
          <w:tcPr>
            <w:tcW w:type="dxa" w:w="2448"/>
          </w:tcPr>
          <w:p>
            <w:pPr>
              <w:spacing w:after="20" w:before="20"/>
              <w:jc w:val="right"/>
            </w:pPr>
            <w:r/>
            <w:r>
              <w:rPr>
                <w:rFonts w:ascii="Calibri" w:hAnsi="Calibri"/>
                <w:b w:val="0"/>
                <w:sz w:val="19"/>
              </w:rPr>
              <w:t>+0.7%</w:t>
            </w:r>
          </w:p>
        </w:tc>
      </w:tr>
      <w:tr>
        <w:tc>
          <w:tcPr>
            <w:tcW w:type="dxa" w:w="4176"/>
            <w:shd w:val="clear" w:color="auto" w:fill="F2F5F8"/>
          </w:tcPr>
          <w:p>
            <w:pPr>
              <w:spacing w:after="20" w:before="20"/>
            </w:pPr>
            <w:r/>
            <w:r>
              <w:rPr>
                <w:rFonts w:ascii="Calibri" w:hAnsi="Calibri"/>
                <w:b/>
                <w:sz w:val="19"/>
              </w:rPr>
              <w:t>EPS (cents)</w:t>
            </w:r>
          </w:p>
        </w:tc>
        <w:tc>
          <w:tcPr>
            <w:tcW w:type="dxa" w:w="2016"/>
            <w:shd w:val="clear" w:color="auto" w:fill="F2F5F8"/>
          </w:tcPr>
          <w:p>
            <w:pPr>
              <w:spacing w:after="20" w:before="20"/>
              <w:jc w:val="right"/>
            </w:pPr>
            <w:r/>
            <w:r>
              <w:rPr>
                <w:rFonts w:ascii="Calibri" w:hAnsi="Calibri"/>
                <w:b w:val="0"/>
                <w:sz w:val="19"/>
              </w:rPr>
              <w:t>166.6</w:t>
            </w:r>
          </w:p>
        </w:tc>
        <w:tc>
          <w:tcPr>
            <w:tcW w:type="dxa" w:w="2016"/>
            <w:shd w:val="clear" w:color="auto" w:fill="F2F5F8"/>
          </w:tcPr>
          <w:p>
            <w:pPr>
              <w:spacing w:after="20" w:before="20"/>
              <w:jc w:val="right"/>
            </w:pPr>
            <w:r/>
            <w:r>
              <w:rPr>
                <w:rFonts w:ascii="Calibri" w:hAnsi="Calibri"/>
                <w:b w:val="0"/>
                <w:sz w:val="19"/>
              </w:rPr>
              <w:t>245.4 (e)</w:t>
            </w:r>
          </w:p>
        </w:tc>
        <w:tc>
          <w:tcPr>
            <w:tcW w:type="dxa" w:w="2448"/>
            <w:shd w:val="clear" w:color="auto" w:fill="F2F5F8"/>
          </w:tcPr>
          <w:p>
            <w:pPr>
              <w:spacing w:after="20" w:before="20"/>
              <w:jc w:val="right"/>
            </w:pPr>
            <w:r/>
            <w:r>
              <w:rPr>
                <w:rFonts w:ascii="Calibri" w:hAnsi="Calibri"/>
                <w:b w:val="0"/>
                <w:sz w:val="19"/>
              </w:rPr>
              <w:t>-32.1%*</w:t>
            </w:r>
          </w:p>
        </w:tc>
      </w:tr>
      <w:tr>
        <w:tc>
          <w:tcPr>
            <w:tcW w:type="dxa" w:w="4176"/>
          </w:tcPr>
          <w:p>
            <w:pPr>
              <w:spacing w:after="20" w:before="20"/>
            </w:pPr>
            <w:r/>
            <w:r>
              <w:rPr>
                <w:rFonts w:ascii="Calibri" w:hAnsi="Calibri"/>
                <w:b/>
                <w:sz w:val="19"/>
              </w:rPr>
              <w:t>Interim DPS (cents)</w:t>
            </w:r>
          </w:p>
        </w:tc>
        <w:tc>
          <w:tcPr>
            <w:tcW w:type="dxa" w:w="2016"/>
          </w:tcPr>
          <w:p>
            <w:pPr>
              <w:spacing w:after="20" w:before="20"/>
              <w:jc w:val="right"/>
            </w:pPr>
            <w:r/>
            <w:r>
              <w:rPr>
                <w:rFonts w:ascii="Calibri" w:hAnsi="Calibri"/>
                <w:b w:val="0"/>
                <w:sz w:val="19"/>
              </w:rPr>
              <w:t>118.0</w:t>
            </w:r>
          </w:p>
        </w:tc>
        <w:tc>
          <w:tcPr>
            <w:tcW w:type="dxa" w:w="2016"/>
          </w:tcPr>
          <w:p>
            <w:pPr>
              <w:spacing w:after="20" w:before="20"/>
              <w:jc w:val="right"/>
            </w:pPr>
            <w:r/>
            <w:r>
              <w:rPr>
                <w:rFonts w:ascii="Calibri" w:hAnsi="Calibri"/>
                <w:b w:val="0"/>
                <w:sz w:val="19"/>
              </w:rPr>
              <w:t>107.0</w:t>
            </w:r>
          </w:p>
        </w:tc>
        <w:tc>
          <w:tcPr>
            <w:tcW w:type="dxa" w:w="2448"/>
          </w:tcPr>
          <w:p>
            <w:pPr>
              <w:spacing w:after="20" w:before="20"/>
              <w:jc w:val="right"/>
            </w:pPr>
            <w:r/>
            <w:r>
              <w:rPr>
                <w:rFonts w:ascii="Calibri" w:hAnsi="Calibri"/>
                <w:b w:val="0"/>
                <w:sz w:val="19"/>
              </w:rPr>
              <w:t>+10.3%</w:t>
            </w:r>
          </w:p>
        </w:tc>
      </w:tr>
      <w:tr>
        <w:tc>
          <w:tcPr>
            <w:tcW w:type="dxa" w:w="4176"/>
            <w:shd w:val="clear" w:color="auto" w:fill="F2F5F8"/>
          </w:tcPr>
          <w:p>
            <w:pPr>
              <w:spacing w:after="20" w:before="20"/>
            </w:pPr>
            <w:r/>
            <w:r>
              <w:rPr>
                <w:rFonts w:ascii="Calibri" w:hAnsi="Calibri"/>
                <w:b/>
                <w:sz w:val="19"/>
              </w:rPr>
              <w:t>ROCE (%)</w:t>
            </w:r>
          </w:p>
        </w:tc>
        <w:tc>
          <w:tcPr>
            <w:tcW w:type="dxa" w:w="2016"/>
            <w:shd w:val="clear" w:color="auto" w:fill="F2F5F8"/>
          </w:tcPr>
          <w:p>
            <w:pPr>
              <w:spacing w:after="20" w:before="20"/>
              <w:jc w:val="right"/>
            </w:pPr>
            <w:r/>
            <w:r>
              <w:rPr>
                <w:rFonts w:ascii="Calibri" w:hAnsi="Calibri"/>
                <w:b w:val="0"/>
                <w:sz w:val="19"/>
              </w:rPr>
              <w:t>16.6</w:t>
            </w:r>
          </w:p>
        </w:tc>
        <w:tc>
          <w:tcPr>
            <w:tcW w:type="dxa" w:w="2016"/>
            <w:shd w:val="clear" w:color="auto" w:fill="F2F5F8"/>
          </w:tcPr>
          <w:p>
            <w:pPr>
              <w:spacing w:after="20" w:before="20"/>
              <w:jc w:val="right"/>
            </w:pPr>
            <w:r/>
            <w:r>
              <w:rPr>
                <w:rFonts w:ascii="Calibri" w:hAnsi="Calibri"/>
                <w:b w:val="0"/>
                <w:sz w:val="19"/>
              </w:rPr>
              <w:t>17.0</w:t>
            </w:r>
          </w:p>
        </w:tc>
        <w:tc>
          <w:tcPr>
            <w:tcW w:type="dxa" w:w="2448"/>
            <w:shd w:val="clear" w:color="auto" w:fill="F2F5F8"/>
          </w:tcPr>
          <w:p>
            <w:pPr>
              <w:spacing w:after="20" w:before="20"/>
              <w:jc w:val="right"/>
            </w:pPr>
            <w:r/>
            <w:r>
              <w:rPr>
                <w:rFonts w:ascii="Calibri" w:hAnsi="Calibri"/>
                <w:b w:val="0"/>
                <w:sz w:val="19"/>
              </w:rPr>
              <w:t>-40 bps</w:t>
            </w:r>
          </w:p>
        </w:tc>
      </w:tr>
      <w:tr>
        <w:tc>
          <w:tcPr>
            <w:tcW w:type="dxa" w:w="4176"/>
          </w:tcPr>
          <w:p>
            <w:pPr>
              <w:spacing w:after="20" w:before="20"/>
            </w:pPr>
            <w:r/>
            <w:r>
              <w:rPr>
                <w:rFonts w:ascii="Calibri" w:hAnsi="Calibri"/>
                <w:b/>
                <w:sz w:val="19"/>
              </w:rPr>
              <w:t>Net debt / EBITDA (x)</w:t>
            </w:r>
          </w:p>
        </w:tc>
        <w:tc>
          <w:tcPr>
            <w:tcW w:type="dxa" w:w="2016"/>
          </w:tcPr>
          <w:p>
            <w:pPr>
              <w:spacing w:after="20" w:before="20"/>
              <w:jc w:val="right"/>
            </w:pPr>
            <w:r/>
            <w:r>
              <w:rPr>
                <w:rFonts w:ascii="Calibri" w:hAnsi="Calibri"/>
                <w:b w:val="0"/>
                <w:sz w:val="19"/>
              </w:rPr>
              <w:t>1.48</w:t>
            </w:r>
          </w:p>
        </w:tc>
        <w:tc>
          <w:tcPr>
            <w:tcW w:type="dxa" w:w="2016"/>
          </w:tcPr>
          <w:p>
            <w:pPr>
              <w:spacing w:after="20" w:before="20"/>
              <w:jc w:val="right"/>
            </w:pPr>
            <w:r/>
            <w:r>
              <w:rPr>
                <w:rFonts w:ascii="Calibri" w:hAnsi="Calibri"/>
                <w:b w:val="0"/>
                <w:sz w:val="19"/>
              </w:rPr>
              <w:t>—</w:t>
            </w:r>
          </w:p>
        </w:tc>
        <w:tc>
          <w:tcPr>
            <w:tcW w:type="dxa" w:w="2448"/>
          </w:tcPr>
          <w:p>
            <w:pPr>
              <w:spacing w:after="20" w:before="20"/>
              <w:jc w:val="right"/>
            </w:pPr>
            <w:r/>
            <w:r>
              <w:rPr>
                <w:rFonts w:ascii="Calibri" w:hAnsi="Calibri"/>
                <w:b w:val="0"/>
                <w:sz w:val="19"/>
              </w:rPr>
              <w:t>within target</w:t>
            </w:r>
          </w:p>
        </w:tc>
      </w:tr>
      <w:tr>
        <w:tc>
          <w:tcPr>
            <w:tcW w:type="dxa" w:w="4176"/>
            <w:shd w:val="clear" w:color="auto" w:fill="F2F5F8"/>
          </w:tcPr>
          <w:p>
            <w:pPr>
              <w:spacing w:after="20" w:before="20"/>
            </w:pPr>
            <w:r/>
            <w:r>
              <w:rPr>
                <w:rFonts w:ascii="Calibri" w:hAnsi="Calibri"/>
                <w:b/>
                <w:sz w:val="19"/>
              </w:rPr>
              <w:t>Cash conversion (%)</w:t>
            </w:r>
          </w:p>
        </w:tc>
        <w:tc>
          <w:tcPr>
            <w:tcW w:type="dxa" w:w="2016"/>
            <w:shd w:val="clear" w:color="auto" w:fill="F2F5F8"/>
          </w:tcPr>
          <w:p>
            <w:pPr>
              <w:spacing w:after="20" w:before="20"/>
              <w:jc w:val="right"/>
            </w:pPr>
            <w:r/>
            <w:r>
              <w:rPr>
                <w:rFonts w:ascii="Calibri" w:hAnsi="Calibri"/>
                <w:b w:val="0"/>
                <w:sz w:val="19"/>
              </w:rPr>
              <w:t>109.8</w:t>
            </w:r>
          </w:p>
        </w:tc>
        <w:tc>
          <w:tcPr>
            <w:tcW w:type="dxa" w:w="2016"/>
            <w:shd w:val="clear" w:color="auto" w:fill="F2F5F8"/>
          </w:tcPr>
          <w:p>
            <w:pPr>
              <w:spacing w:after="20" w:before="20"/>
              <w:jc w:val="right"/>
            </w:pPr>
            <w:r/>
            <w:r>
              <w:rPr>
                <w:rFonts w:ascii="Calibri" w:hAnsi="Calibri"/>
                <w:b w:val="0"/>
                <w:sz w:val="19"/>
              </w:rPr>
              <w:t>77.9</w:t>
            </w:r>
          </w:p>
        </w:tc>
        <w:tc>
          <w:tcPr>
            <w:tcW w:type="dxa" w:w="2448"/>
            <w:shd w:val="clear" w:color="auto" w:fill="F2F5F8"/>
          </w:tcPr>
          <w:p>
            <w:pPr>
              <w:spacing w:after="20" w:before="20"/>
              <w:jc w:val="right"/>
            </w:pPr>
            <w:r/>
            <w:r>
              <w:rPr>
                <w:rFonts w:ascii="Calibri" w:hAnsi="Calibri"/>
                <w:b w:val="0"/>
                <w:sz w:val="19"/>
              </w:rPr>
              <w:t>+3,190 bps</w:t>
            </w:r>
          </w:p>
        </w:tc>
      </w:tr>
      <w:tr>
        <w:tc>
          <w:tcPr>
            <w:tcW w:type="dxa" w:w="4176"/>
          </w:tcPr>
          <w:p>
            <w:pPr>
              <w:spacing w:after="20" w:before="20"/>
            </w:pPr>
            <w:r/>
            <w:r>
              <w:rPr>
                <w:rFonts w:ascii="Calibri" w:hAnsi="Calibri"/>
                <w:b/>
                <w:sz w:val="19"/>
              </w:rPr>
              <w:t>Net borrowings (excl. leases)</w:t>
            </w:r>
          </w:p>
        </w:tc>
        <w:tc>
          <w:tcPr>
            <w:tcW w:type="dxa" w:w="2016"/>
          </w:tcPr>
          <w:p>
            <w:pPr>
              <w:spacing w:after="20" w:before="20"/>
              <w:jc w:val="right"/>
            </w:pPr>
            <w:r/>
            <w:r>
              <w:rPr>
                <w:rFonts w:ascii="Calibri" w:hAnsi="Calibri"/>
                <w:b w:val="0"/>
                <w:sz w:val="19"/>
              </w:rPr>
              <w:t>R5.8bn</w:t>
            </w:r>
          </w:p>
        </w:tc>
        <w:tc>
          <w:tcPr>
            <w:tcW w:type="dxa" w:w="2016"/>
          </w:tcPr>
          <w:p>
            <w:pPr>
              <w:spacing w:after="20" w:before="20"/>
              <w:jc w:val="right"/>
            </w:pPr>
            <w:r/>
            <w:r>
              <w:rPr>
                <w:rFonts w:ascii="Calibri" w:hAnsi="Calibri"/>
                <w:b w:val="0"/>
                <w:sz w:val="19"/>
              </w:rPr>
              <w:t>R4.7bn</w:t>
            </w:r>
          </w:p>
        </w:tc>
        <w:tc>
          <w:tcPr>
            <w:tcW w:type="dxa" w:w="2448"/>
          </w:tcPr>
          <w:p>
            <w:pPr>
              <w:spacing w:after="20" w:before="20"/>
              <w:jc w:val="right"/>
            </w:pPr>
            <w:r/>
            <w:r>
              <w:rPr>
                <w:rFonts w:ascii="Calibri" w:hAnsi="Calibri"/>
                <w:b w:val="0"/>
                <w:sz w:val="19"/>
              </w:rPr>
              <w:t>+R1.1bn</w:t>
            </w:r>
          </w:p>
        </w:tc>
      </w:tr>
    </w:tbl>
    <w:p>
      <w:pPr>
        <w:spacing w:after="80" w:line="259" w:lineRule="auto"/>
      </w:pPr>
      <w:r>
        <w:rPr>
          <w:sz w:val="17"/>
        </w:rPr>
        <w:t>* EPS fell because the prior period (H1 FY2025) included the profit on sale of the Bourke Street, Melbourne property plus rental income; HEPS (which strips this out) is the cleaner read at +9.6%. (e) = estimated/derived from disclosed % change; verify against full interim statements.</w:t>
      </w:r>
    </w:p>
    <w:p>
      <w:pPr>
        <w:spacing w:before="160" w:after="40"/>
      </w:pPr>
      <w:r>
        <w:rPr>
          <w:b/>
          <w:color w:val="2E75B6"/>
          <w:sz w:val="22"/>
        </w:rPr>
        <w:t>Divisional — H1 FY2026 (share of group sales: Food 65.3%, FBH 19.5%, CRG 15.2%)</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448"/>
            <w:shd w:val="clear" w:color="auto" w:fill="1F3349"/>
          </w:tcPr>
          <w:p>
            <w:pPr>
              <w:spacing w:after="20" w:before="20"/>
            </w:pPr>
            <w:r/>
            <w:r>
              <w:rPr>
                <w:rFonts w:ascii="Calibri" w:hAnsi="Calibri"/>
                <w:b/>
                <w:color w:val="FFFFFF"/>
                <w:sz w:val="19"/>
              </w:rPr>
              <w:t>Division</w:t>
            </w:r>
          </w:p>
        </w:tc>
        <w:tc>
          <w:tcPr>
            <w:tcW w:type="dxa" w:w="1872"/>
            <w:shd w:val="clear" w:color="auto" w:fill="1F3349"/>
          </w:tcPr>
          <w:p>
            <w:pPr>
              <w:spacing w:after="20" w:before="20"/>
              <w:jc w:val="right"/>
            </w:pPr>
            <w:r/>
            <w:r>
              <w:rPr>
                <w:rFonts w:ascii="Calibri" w:hAnsi="Calibri"/>
                <w:b/>
                <w:color w:val="FFFFFF"/>
                <w:sz w:val="19"/>
              </w:rPr>
              <w:t>Turnover &amp; conc.</w:t>
            </w:r>
          </w:p>
        </w:tc>
        <w:tc>
          <w:tcPr>
            <w:tcW w:type="dxa" w:w="1224"/>
            <w:shd w:val="clear" w:color="auto" w:fill="1F3349"/>
          </w:tcPr>
          <w:p>
            <w:pPr>
              <w:spacing w:after="20" w:before="20"/>
              <w:jc w:val="right"/>
            </w:pPr>
            <w:r/>
            <w:r>
              <w:rPr>
                <w:rFonts w:ascii="Calibri" w:hAnsi="Calibri"/>
                <w:b/>
                <w:color w:val="FFFFFF"/>
                <w:sz w:val="19"/>
              </w:rPr>
              <w:t>Growth</w:t>
            </w:r>
          </w:p>
        </w:tc>
        <w:tc>
          <w:tcPr>
            <w:tcW w:type="dxa" w:w="2376"/>
            <w:shd w:val="clear" w:color="auto" w:fill="1F3349"/>
          </w:tcPr>
          <w:p>
            <w:pPr>
              <w:spacing w:after="20" w:before="20"/>
              <w:jc w:val="right"/>
            </w:pPr>
            <w:r/>
            <w:r>
              <w:rPr>
                <w:rFonts w:ascii="Calibri" w:hAnsi="Calibri"/>
                <w:b/>
                <w:color w:val="FFFFFF"/>
                <w:sz w:val="19"/>
              </w:rPr>
              <w:t>Adj. operating profit</w:t>
            </w:r>
          </w:p>
        </w:tc>
        <w:tc>
          <w:tcPr>
            <w:tcW w:type="dxa" w:w="1224"/>
            <w:shd w:val="clear" w:color="auto" w:fill="1F3349"/>
          </w:tcPr>
          <w:p>
            <w:pPr>
              <w:spacing w:after="20" w:before="20"/>
              <w:jc w:val="right"/>
            </w:pPr>
            <w:r/>
            <w:r>
              <w:rPr>
                <w:rFonts w:ascii="Calibri" w:hAnsi="Calibri"/>
                <w:b/>
                <w:color w:val="FFFFFF"/>
                <w:sz w:val="19"/>
              </w:rPr>
              <w:t>Op. margin</w:t>
            </w:r>
          </w:p>
        </w:tc>
        <w:tc>
          <w:tcPr>
            <w:tcW w:type="dxa" w:w="1944"/>
            <w:shd w:val="clear" w:color="auto" w:fill="1F3349"/>
          </w:tcPr>
          <w:p>
            <w:pPr>
              <w:spacing w:after="20" w:before="20"/>
              <w:jc w:val="right"/>
            </w:pPr>
            <w:r/>
            <w:r>
              <w:rPr>
                <w:rFonts w:ascii="Calibri" w:hAnsi="Calibri"/>
                <w:b/>
                <w:color w:val="FFFFFF"/>
                <w:sz w:val="19"/>
              </w:rPr>
              <w:t>GP margin</w:t>
            </w:r>
          </w:p>
        </w:tc>
      </w:tr>
      <w:tr>
        <w:tc>
          <w:tcPr>
            <w:tcW w:type="dxa" w:w="2448"/>
          </w:tcPr>
          <w:p>
            <w:pPr>
              <w:spacing w:after="20" w:before="20"/>
            </w:pPr>
            <w:r/>
            <w:r>
              <w:rPr>
                <w:rFonts w:ascii="Calibri" w:hAnsi="Calibri"/>
                <w:b/>
                <w:sz w:val="19"/>
              </w:rPr>
              <w:t>Woolworths Food</w:t>
            </w:r>
          </w:p>
        </w:tc>
        <w:tc>
          <w:tcPr>
            <w:tcW w:type="dxa" w:w="1872"/>
          </w:tcPr>
          <w:p>
            <w:pPr>
              <w:spacing w:after="20" w:before="20"/>
              <w:jc w:val="right"/>
            </w:pPr>
            <w:r/>
            <w:r>
              <w:rPr>
                <w:rFonts w:ascii="Calibri" w:hAnsi="Calibri"/>
                <w:b w:val="0"/>
                <w:sz w:val="19"/>
              </w:rPr>
              <w:t>R27.3bn</w:t>
            </w:r>
          </w:p>
        </w:tc>
        <w:tc>
          <w:tcPr>
            <w:tcW w:type="dxa" w:w="1224"/>
          </w:tcPr>
          <w:p>
            <w:pPr>
              <w:spacing w:after="20" w:before="20"/>
              <w:jc w:val="right"/>
            </w:pPr>
            <w:r/>
            <w:r>
              <w:rPr>
                <w:rFonts w:ascii="Calibri" w:hAnsi="Calibri"/>
                <w:b w:val="0"/>
                <w:sz w:val="19"/>
              </w:rPr>
              <w:t>+7.0%</w:t>
            </w:r>
          </w:p>
        </w:tc>
        <w:tc>
          <w:tcPr>
            <w:tcW w:type="dxa" w:w="2376"/>
          </w:tcPr>
          <w:p>
            <w:pPr>
              <w:spacing w:after="20" w:before="20"/>
              <w:jc w:val="right"/>
            </w:pPr>
            <w:r/>
            <w:r>
              <w:rPr>
                <w:rFonts w:ascii="Calibri" w:hAnsi="Calibri"/>
                <w:b w:val="0"/>
                <w:sz w:val="19"/>
              </w:rPr>
              <w:t>R1,780m (+3.5%)</w:t>
            </w:r>
          </w:p>
        </w:tc>
        <w:tc>
          <w:tcPr>
            <w:tcW w:type="dxa" w:w="1224"/>
          </w:tcPr>
          <w:p>
            <w:pPr>
              <w:spacing w:after="20" w:before="20"/>
              <w:jc w:val="right"/>
            </w:pPr>
            <w:r/>
            <w:r>
              <w:rPr>
                <w:rFonts w:ascii="Calibri" w:hAnsi="Calibri"/>
                <w:b w:val="0"/>
                <w:sz w:val="19"/>
              </w:rPr>
              <w:t>6.5%</w:t>
            </w:r>
          </w:p>
        </w:tc>
        <w:tc>
          <w:tcPr>
            <w:tcW w:type="dxa" w:w="1944"/>
          </w:tcPr>
          <w:p>
            <w:pPr>
              <w:spacing w:after="20" w:before="20"/>
              <w:jc w:val="right"/>
            </w:pPr>
            <w:r/>
            <w:r>
              <w:rPr>
                <w:rFonts w:ascii="Calibri" w:hAnsi="Calibri"/>
                <w:b w:val="0"/>
                <w:sz w:val="19"/>
              </w:rPr>
              <w:t>24.8% (-10bps)</w:t>
            </w:r>
          </w:p>
        </w:tc>
      </w:tr>
      <w:tr>
        <w:tc>
          <w:tcPr>
            <w:tcW w:type="dxa" w:w="2448"/>
            <w:shd w:val="clear" w:color="auto" w:fill="F2F5F8"/>
          </w:tcPr>
          <w:p>
            <w:pPr>
              <w:spacing w:after="20" w:before="20"/>
            </w:pPr>
            <w:r/>
            <w:r>
              <w:rPr>
                <w:rFonts w:ascii="Calibri" w:hAnsi="Calibri"/>
                <w:b/>
                <w:sz w:val="19"/>
              </w:rPr>
              <w:t>Woolworths FBH</w:t>
            </w:r>
          </w:p>
        </w:tc>
        <w:tc>
          <w:tcPr>
            <w:tcW w:type="dxa" w:w="1872"/>
            <w:shd w:val="clear" w:color="auto" w:fill="F2F5F8"/>
          </w:tcPr>
          <w:p>
            <w:pPr>
              <w:spacing w:after="20" w:before="20"/>
              <w:jc w:val="right"/>
            </w:pPr>
            <w:r/>
            <w:r>
              <w:rPr>
                <w:rFonts w:ascii="Calibri" w:hAnsi="Calibri"/>
                <w:b w:val="0"/>
                <w:sz w:val="19"/>
              </w:rPr>
              <w:t>R8.3bn</w:t>
            </w:r>
          </w:p>
        </w:tc>
        <w:tc>
          <w:tcPr>
            <w:tcW w:type="dxa" w:w="1224"/>
            <w:shd w:val="clear" w:color="auto" w:fill="F2F5F8"/>
          </w:tcPr>
          <w:p>
            <w:pPr>
              <w:spacing w:after="20" w:before="20"/>
              <w:jc w:val="right"/>
            </w:pPr>
            <w:r/>
            <w:r>
              <w:rPr>
                <w:rFonts w:ascii="Calibri" w:hAnsi="Calibri"/>
                <w:b w:val="0"/>
                <w:sz w:val="19"/>
              </w:rPr>
              <w:t>+6.2%</w:t>
            </w:r>
          </w:p>
        </w:tc>
        <w:tc>
          <w:tcPr>
            <w:tcW w:type="dxa" w:w="2376"/>
            <w:shd w:val="clear" w:color="auto" w:fill="F2F5F8"/>
          </w:tcPr>
          <w:p>
            <w:pPr>
              <w:spacing w:after="20" w:before="20"/>
              <w:jc w:val="right"/>
            </w:pPr>
            <w:r/>
            <w:r>
              <w:rPr>
                <w:rFonts w:ascii="Calibri" w:hAnsi="Calibri"/>
                <w:b w:val="0"/>
                <w:sz w:val="19"/>
              </w:rPr>
              <w:t>R771m (+1.0%)</w:t>
            </w:r>
          </w:p>
        </w:tc>
        <w:tc>
          <w:tcPr>
            <w:tcW w:type="dxa" w:w="1224"/>
            <w:shd w:val="clear" w:color="auto" w:fill="F2F5F8"/>
          </w:tcPr>
          <w:p>
            <w:pPr>
              <w:spacing w:after="20" w:before="20"/>
              <w:jc w:val="right"/>
            </w:pPr>
            <w:r/>
            <w:r>
              <w:rPr>
                <w:rFonts w:ascii="Calibri" w:hAnsi="Calibri"/>
                <w:b w:val="0"/>
                <w:sz w:val="19"/>
              </w:rPr>
              <w:t>9.3%</w:t>
            </w:r>
          </w:p>
        </w:tc>
        <w:tc>
          <w:tcPr>
            <w:tcW w:type="dxa" w:w="1944"/>
            <w:shd w:val="clear" w:color="auto" w:fill="F2F5F8"/>
          </w:tcPr>
          <w:p>
            <w:pPr>
              <w:spacing w:after="20" w:before="20"/>
              <w:jc w:val="right"/>
            </w:pPr>
            <w:r/>
            <w:r>
              <w:rPr>
                <w:rFonts w:ascii="Calibri" w:hAnsi="Calibri"/>
                <w:b w:val="0"/>
                <w:sz w:val="19"/>
              </w:rPr>
              <w:t>45.8% (-50bps)</w:t>
            </w:r>
          </w:p>
        </w:tc>
      </w:tr>
      <w:tr>
        <w:tc>
          <w:tcPr>
            <w:tcW w:type="dxa" w:w="2448"/>
          </w:tcPr>
          <w:p>
            <w:pPr>
              <w:spacing w:after="20" w:before="20"/>
            </w:pPr>
            <w:r/>
            <w:r>
              <w:rPr>
                <w:rFonts w:ascii="Calibri" w:hAnsi="Calibri"/>
                <w:b/>
                <w:sz w:val="19"/>
              </w:rPr>
              <w:t>Country Road Group</w:t>
            </w:r>
          </w:p>
        </w:tc>
        <w:tc>
          <w:tcPr>
            <w:tcW w:type="dxa" w:w="1872"/>
          </w:tcPr>
          <w:p>
            <w:pPr>
              <w:spacing w:after="20" w:before="20"/>
              <w:jc w:val="right"/>
            </w:pPr>
            <w:r/>
            <w:r>
              <w:rPr>
                <w:rFonts w:ascii="Calibri" w:hAnsi="Calibri"/>
                <w:b w:val="0"/>
                <w:sz w:val="19"/>
              </w:rPr>
              <w:t>A$568.6m</w:t>
            </w:r>
          </w:p>
        </w:tc>
        <w:tc>
          <w:tcPr>
            <w:tcW w:type="dxa" w:w="1224"/>
          </w:tcPr>
          <w:p>
            <w:pPr>
              <w:spacing w:after="20" w:before="20"/>
              <w:jc w:val="right"/>
            </w:pPr>
            <w:r/>
            <w:r>
              <w:rPr>
                <w:rFonts w:ascii="Calibri" w:hAnsi="Calibri"/>
                <w:b w:val="0"/>
                <w:sz w:val="19"/>
              </w:rPr>
              <w:t>+2.3%</w:t>
            </w:r>
          </w:p>
        </w:tc>
        <w:tc>
          <w:tcPr>
            <w:tcW w:type="dxa" w:w="2376"/>
          </w:tcPr>
          <w:p>
            <w:pPr>
              <w:spacing w:after="20" w:before="20"/>
              <w:jc w:val="right"/>
            </w:pPr>
            <w:r/>
            <w:r>
              <w:rPr>
                <w:rFonts w:ascii="Calibri" w:hAnsi="Calibri"/>
                <w:b w:val="0"/>
                <w:sz w:val="19"/>
              </w:rPr>
              <w:t>A$14.8m (+4.2%)</w:t>
            </w:r>
          </w:p>
        </w:tc>
        <w:tc>
          <w:tcPr>
            <w:tcW w:type="dxa" w:w="1224"/>
          </w:tcPr>
          <w:p>
            <w:pPr>
              <w:spacing w:after="20" w:before="20"/>
              <w:jc w:val="right"/>
            </w:pPr>
            <w:r/>
            <w:r>
              <w:rPr>
                <w:rFonts w:ascii="Calibri" w:hAnsi="Calibri"/>
                <w:b w:val="0"/>
                <w:sz w:val="19"/>
              </w:rPr>
              <w:t>2.6%</w:t>
            </w:r>
          </w:p>
        </w:tc>
        <w:tc>
          <w:tcPr>
            <w:tcW w:type="dxa" w:w="1944"/>
          </w:tcPr>
          <w:p>
            <w:pPr>
              <w:spacing w:after="20" w:before="20"/>
              <w:jc w:val="right"/>
            </w:pPr>
            <w:r/>
            <w:r>
              <w:rPr>
                <w:rFonts w:ascii="Calibri" w:hAnsi="Calibri"/>
                <w:b w:val="0"/>
                <w:sz w:val="19"/>
              </w:rPr>
              <w:t>57.9% (-100bps)</w:t>
            </w:r>
          </w:p>
        </w:tc>
      </w:tr>
    </w:tbl>
    <w:p>
      <w:pPr>
        <w:spacing w:before="160" w:after="40"/>
      </w:pPr>
      <w:r>
        <w:rPr>
          <w:b/>
          <w:color w:val="2E75B6"/>
          <w:sz w:val="22"/>
        </w:rPr>
        <w:t>Full-year context — FY2025 (52 wks to 29 Jun 2025), reported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176"/>
            <w:shd w:val="clear" w:color="auto" w:fill="1F3349"/>
          </w:tcPr>
          <w:p>
            <w:pPr>
              <w:spacing w:after="20" w:before="20"/>
            </w:pPr>
            <w:r/>
            <w:r>
              <w:rPr>
                <w:rFonts w:ascii="Calibri" w:hAnsi="Calibri"/>
                <w:b/>
                <w:color w:val="FFFFFF"/>
                <w:sz w:val="19"/>
              </w:rPr>
              <w:t>Metric</w:t>
            </w:r>
          </w:p>
        </w:tc>
        <w:tc>
          <w:tcPr>
            <w:tcW w:type="dxa" w:w="2016"/>
            <w:shd w:val="clear" w:color="auto" w:fill="1F3349"/>
          </w:tcPr>
          <w:p>
            <w:pPr>
              <w:spacing w:after="20" w:before="20"/>
              <w:jc w:val="right"/>
            </w:pPr>
            <w:r/>
            <w:r>
              <w:rPr>
                <w:rFonts w:ascii="Calibri" w:hAnsi="Calibri"/>
                <w:b/>
                <w:color w:val="FFFFFF"/>
                <w:sz w:val="19"/>
              </w:rPr>
              <w:t>FY2025</w:t>
            </w:r>
          </w:p>
        </w:tc>
        <w:tc>
          <w:tcPr>
            <w:tcW w:type="dxa" w:w="2016"/>
            <w:shd w:val="clear" w:color="auto" w:fill="1F3349"/>
          </w:tcPr>
          <w:p>
            <w:pPr>
              <w:spacing w:after="20" w:before="20"/>
              <w:jc w:val="right"/>
            </w:pPr>
            <w:r/>
            <w:r>
              <w:rPr>
                <w:rFonts w:ascii="Calibri" w:hAnsi="Calibri"/>
                <w:b/>
                <w:color w:val="FFFFFF"/>
                <w:sz w:val="19"/>
              </w:rPr>
              <w:t>FY2024</w:t>
            </w:r>
          </w:p>
        </w:tc>
        <w:tc>
          <w:tcPr>
            <w:tcW w:type="dxa" w:w="2448"/>
            <w:shd w:val="clear" w:color="auto" w:fill="1F3349"/>
          </w:tcPr>
          <w:p>
            <w:pPr>
              <w:spacing w:after="20" w:before="20"/>
              <w:jc w:val="right"/>
            </w:pPr>
            <w:r/>
            <w:r>
              <w:rPr>
                <w:rFonts w:ascii="Calibri" w:hAnsi="Calibri"/>
                <w:b/>
                <w:color w:val="FFFFFF"/>
                <w:sz w:val="19"/>
              </w:rPr>
              <w:t>Change</w:t>
            </w:r>
          </w:p>
        </w:tc>
      </w:tr>
      <w:tr>
        <w:tc>
          <w:tcPr>
            <w:tcW w:type="dxa" w:w="4176"/>
          </w:tcPr>
          <w:p>
            <w:pPr>
              <w:spacing w:after="20" w:before="20"/>
            </w:pPr>
            <w:r/>
            <w:r>
              <w:rPr>
                <w:rFonts w:ascii="Calibri" w:hAnsi="Calibri"/>
                <w:b/>
                <w:sz w:val="19"/>
              </w:rPr>
              <w:t>Turnover &amp; concession sales</w:t>
            </w:r>
          </w:p>
        </w:tc>
        <w:tc>
          <w:tcPr>
            <w:tcW w:type="dxa" w:w="2016"/>
          </w:tcPr>
          <w:p>
            <w:pPr>
              <w:spacing w:after="20" w:before="20"/>
              <w:jc w:val="right"/>
            </w:pPr>
            <w:r/>
            <w:r>
              <w:rPr>
                <w:rFonts w:ascii="Calibri" w:hAnsi="Calibri"/>
                <w:b w:val="0"/>
                <w:sz w:val="19"/>
              </w:rPr>
              <w:t>R81.0bn</w:t>
            </w:r>
          </w:p>
        </w:tc>
        <w:tc>
          <w:tcPr>
            <w:tcW w:type="dxa" w:w="2016"/>
          </w:tcPr>
          <w:p>
            <w:pPr>
              <w:spacing w:after="20" w:before="20"/>
              <w:jc w:val="right"/>
            </w:pPr>
            <w:r/>
            <w:r>
              <w:rPr>
                <w:rFonts w:ascii="Calibri" w:hAnsi="Calibri"/>
                <w:b w:val="0"/>
                <w:sz w:val="19"/>
              </w:rPr>
              <w:t>—</w:t>
            </w:r>
          </w:p>
        </w:tc>
        <w:tc>
          <w:tcPr>
            <w:tcW w:type="dxa" w:w="2448"/>
          </w:tcPr>
          <w:p>
            <w:pPr>
              <w:spacing w:after="20" w:before="20"/>
              <w:jc w:val="right"/>
            </w:pPr>
            <w:r/>
            <w:r>
              <w:rPr>
                <w:rFonts w:ascii="Calibri" w:hAnsi="Calibri"/>
                <w:b w:val="0"/>
                <w:sz w:val="19"/>
              </w:rPr>
              <w:t>+6.1% (+6.8% cc)</w:t>
            </w:r>
          </w:p>
        </w:tc>
      </w:tr>
      <w:tr>
        <w:tc>
          <w:tcPr>
            <w:tcW w:type="dxa" w:w="4176"/>
            <w:shd w:val="clear" w:color="auto" w:fill="F2F5F8"/>
          </w:tcPr>
          <w:p>
            <w:pPr>
              <w:spacing w:after="20" w:before="20"/>
            </w:pPr>
            <w:r/>
            <w:r>
              <w:rPr>
                <w:rFonts w:ascii="Calibri" w:hAnsi="Calibri"/>
                <w:b/>
                <w:sz w:val="19"/>
              </w:rPr>
              <w:t>Adjusted EBITDA</w:t>
            </w:r>
          </w:p>
        </w:tc>
        <w:tc>
          <w:tcPr>
            <w:tcW w:type="dxa" w:w="2016"/>
            <w:shd w:val="clear" w:color="auto" w:fill="F2F5F8"/>
          </w:tcPr>
          <w:p>
            <w:pPr>
              <w:spacing w:after="20" w:before="20"/>
              <w:jc w:val="right"/>
            </w:pPr>
            <w:r/>
            <w:r>
              <w:rPr>
                <w:rFonts w:ascii="Calibri" w:hAnsi="Calibri"/>
                <w:b w:val="0"/>
                <w:sz w:val="19"/>
              </w:rPr>
              <w:t>R8.7bn</w:t>
            </w:r>
          </w:p>
        </w:tc>
        <w:tc>
          <w:tcPr>
            <w:tcW w:type="dxa" w:w="2016"/>
            <w:shd w:val="clear" w:color="auto" w:fill="F2F5F8"/>
          </w:tcPr>
          <w:p>
            <w:pPr>
              <w:spacing w:after="20" w:before="20"/>
              <w:jc w:val="right"/>
            </w:pPr>
            <w:r/>
            <w:r>
              <w:rPr>
                <w:rFonts w:ascii="Calibri" w:hAnsi="Calibri"/>
                <w:b w:val="0"/>
                <w:sz w:val="19"/>
              </w:rPr>
              <w:t>—</w:t>
            </w:r>
          </w:p>
        </w:tc>
        <w:tc>
          <w:tcPr>
            <w:tcW w:type="dxa" w:w="2448"/>
            <w:shd w:val="clear" w:color="auto" w:fill="F2F5F8"/>
          </w:tcPr>
          <w:p>
            <w:pPr>
              <w:spacing w:after="20" w:before="20"/>
              <w:jc w:val="right"/>
            </w:pPr>
            <w:r/>
            <w:r>
              <w:rPr>
                <w:rFonts w:ascii="Calibri" w:hAnsi="Calibri"/>
                <w:b w:val="0"/>
                <w:sz w:val="19"/>
              </w:rPr>
              <w:t>-3.8%</w:t>
            </w:r>
          </w:p>
        </w:tc>
      </w:tr>
      <w:tr>
        <w:tc>
          <w:tcPr>
            <w:tcW w:type="dxa" w:w="4176"/>
          </w:tcPr>
          <w:p>
            <w:pPr>
              <w:spacing w:after="20" w:before="20"/>
            </w:pPr>
            <w:r/>
            <w:r>
              <w:rPr>
                <w:rFonts w:ascii="Calibri" w:hAnsi="Calibri"/>
                <w:b/>
                <w:sz w:val="19"/>
              </w:rPr>
              <w:t>Adjusted EBIT</w:t>
            </w:r>
          </w:p>
        </w:tc>
        <w:tc>
          <w:tcPr>
            <w:tcW w:type="dxa" w:w="2016"/>
          </w:tcPr>
          <w:p>
            <w:pPr>
              <w:spacing w:after="20" w:before="20"/>
              <w:jc w:val="right"/>
            </w:pPr>
            <w:r/>
            <w:r>
              <w:rPr>
                <w:rFonts w:ascii="Calibri" w:hAnsi="Calibri"/>
                <w:b w:val="0"/>
                <w:sz w:val="19"/>
              </w:rPr>
              <w:t>R5.2bn</w:t>
            </w:r>
          </w:p>
        </w:tc>
        <w:tc>
          <w:tcPr>
            <w:tcW w:type="dxa" w:w="2016"/>
          </w:tcPr>
          <w:p>
            <w:pPr>
              <w:spacing w:after="20" w:before="20"/>
              <w:jc w:val="right"/>
            </w:pPr>
            <w:r/>
            <w:r>
              <w:rPr>
                <w:rFonts w:ascii="Calibri" w:hAnsi="Calibri"/>
                <w:b w:val="0"/>
                <w:sz w:val="19"/>
              </w:rPr>
              <w:t>—</w:t>
            </w:r>
          </w:p>
        </w:tc>
        <w:tc>
          <w:tcPr>
            <w:tcW w:type="dxa" w:w="2448"/>
          </w:tcPr>
          <w:p>
            <w:pPr>
              <w:spacing w:after="20" w:before="20"/>
              <w:jc w:val="right"/>
            </w:pPr>
            <w:r/>
            <w:r>
              <w:rPr>
                <w:rFonts w:ascii="Calibri" w:hAnsi="Calibri"/>
                <w:b w:val="0"/>
                <w:sz w:val="19"/>
              </w:rPr>
              <w:t>-10.9%</w:t>
            </w:r>
          </w:p>
        </w:tc>
      </w:tr>
      <w:tr>
        <w:tc>
          <w:tcPr>
            <w:tcW w:type="dxa" w:w="4176"/>
            <w:shd w:val="clear" w:color="auto" w:fill="F2F5F8"/>
          </w:tcPr>
          <w:p>
            <w:pPr>
              <w:spacing w:after="20" w:before="20"/>
            </w:pPr>
            <w:r/>
            <w:r>
              <w:rPr>
                <w:rFonts w:ascii="Calibri" w:hAnsi="Calibri"/>
                <w:b/>
                <w:sz w:val="19"/>
              </w:rPr>
              <w:t>HEPS (cents)</w:t>
            </w:r>
          </w:p>
        </w:tc>
        <w:tc>
          <w:tcPr>
            <w:tcW w:type="dxa" w:w="2016"/>
            <w:shd w:val="clear" w:color="auto" w:fill="F2F5F8"/>
          </w:tcPr>
          <w:p>
            <w:pPr>
              <w:spacing w:after="20" w:before="20"/>
              <w:jc w:val="right"/>
            </w:pPr>
            <w:r/>
            <w:r>
              <w:rPr>
                <w:rFonts w:ascii="Calibri" w:hAnsi="Calibri"/>
                <w:b w:val="0"/>
                <w:sz w:val="19"/>
              </w:rPr>
              <w:t>268.1</w:t>
            </w:r>
          </w:p>
        </w:tc>
        <w:tc>
          <w:tcPr>
            <w:tcW w:type="dxa" w:w="2016"/>
            <w:shd w:val="clear" w:color="auto" w:fill="F2F5F8"/>
          </w:tcPr>
          <w:p>
            <w:pPr>
              <w:spacing w:after="20" w:before="20"/>
              <w:jc w:val="right"/>
            </w:pPr>
            <w:r/>
            <w:r>
              <w:rPr>
                <w:rFonts w:ascii="Calibri" w:hAnsi="Calibri"/>
                <w:b w:val="0"/>
                <w:sz w:val="19"/>
              </w:rPr>
              <w:t>364.2</w:t>
            </w:r>
          </w:p>
        </w:tc>
        <w:tc>
          <w:tcPr>
            <w:tcW w:type="dxa" w:w="2448"/>
            <w:shd w:val="clear" w:color="auto" w:fill="F2F5F8"/>
          </w:tcPr>
          <w:p>
            <w:pPr>
              <w:spacing w:after="20" w:before="20"/>
              <w:jc w:val="right"/>
            </w:pPr>
            <w:r/>
            <w:r>
              <w:rPr>
                <w:rFonts w:ascii="Calibri" w:hAnsi="Calibri"/>
                <w:b w:val="0"/>
                <w:sz w:val="19"/>
              </w:rPr>
              <w:t>-26.4% (-23.9% cont.)</w:t>
            </w:r>
          </w:p>
        </w:tc>
      </w:tr>
      <w:tr>
        <w:tc>
          <w:tcPr>
            <w:tcW w:type="dxa" w:w="4176"/>
          </w:tcPr>
          <w:p>
            <w:pPr>
              <w:spacing w:after="20" w:before="20"/>
            </w:pPr>
            <w:r/>
            <w:r>
              <w:rPr>
                <w:rFonts w:ascii="Calibri" w:hAnsi="Calibri"/>
                <w:b/>
                <w:sz w:val="19"/>
              </w:rPr>
              <w:t>Adjusted HEPS (cents)</w:t>
            </w:r>
          </w:p>
        </w:tc>
        <w:tc>
          <w:tcPr>
            <w:tcW w:type="dxa" w:w="2016"/>
          </w:tcPr>
          <w:p>
            <w:pPr>
              <w:spacing w:after="20" w:before="20"/>
              <w:jc w:val="right"/>
            </w:pPr>
            <w:r/>
            <w:r>
              <w:rPr>
                <w:rFonts w:ascii="Calibri" w:hAnsi="Calibri"/>
                <w:b w:val="0"/>
                <w:sz w:val="19"/>
              </w:rPr>
              <w:t>306.6</w:t>
            </w:r>
          </w:p>
        </w:tc>
        <w:tc>
          <w:tcPr>
            <w:tcW w:type="dxa" w:w="2016"/>
          </w:tcPr>
          <w:p>
            <w:pPr>
              <w:spacing w:after="20" w:before="20"/>
              <w:jc w:val="right"/>
            </w:pPr>
            <w:r/>
            <w:r>
              <w:rPr>
                <w:rFonts w:ascii="Calibri" w:hAnsi="Calibri"/>
                <w:b w:val="0"/>
                <w:sz w:val="19"/>
              </w:rPr>
              <w:t>391.3</w:t>
            </w:r>
          </w:p>
        </w:tc>
        <w:tc>
          <w:tcPr>
            <w:tcW w:type="dxa" w:w="2448"/>
          </w:tcPr>
          <w:p>
            <w:pPr>
              <w:spacing w:after="20" w:before="20"/>
              <w:jc w:val="right"/>
            </w:pPr>
            <w:r/>
            <w:r>
              <w:rPr>
                <w:rFonts w:ascii="Calibri" w:hAnsi="Calibri"/>
                <w:b w:val="0"/>
                <w:sz w:val="19"/>
              </w:rPr>
              <w:t>-21.6%</w:t>
            </w:r>
          </w:p>
        </w:tc>
      </w:tr>
      <w:tr>
        <w:tc>
          <w:tcPr>
            <w:tcW w:type="dxa" w:w="4176"/>
            <w:shd w:val="clear" w:color="auto" w:fill="F2F5F8"/>
          </w:tcPr>
          <w:p>
            <w:pPr>
              <w:spacing w:after="20" w:before="20"/>
            </w:pPr>
            <w:r/>
            <w:r>
              <w:rPr>
                <w:rFonts w:ascii="Calibri" w:hAnsi="Calibri"/>
                <w:b/>
                <w:sz w:val="19"/>
              </w:rPr>
              <w:t>EPS (cents)</w:t>
            </w:r>
          </w:p>
        </w:tc>
        <w:tc>
          <w:tcPr>
            <w:tcW w:type="dxa" w:w="2016"/>
            <w:shd w:val="clear" w:color="auto" w:fill="F2F5F8"/>
          </w:tcPr>
          <w:p>
            <w:pPr>
              <w:spacing w:after="20" w:before="20"/>
              <w:jc w:val="right"/>
            </w:pPr>
            <w:r/>
            <w:r>
              <w:rPr>
                <w:rFonts w:ascii="Calibri" w:hAnsi="Calibri"/>
                <w:b w:val="0"/>
                <w:sz w:val="19"/>
              </w:rPr>
              <w:t>273.4</w:t>
            </w:r>
          </w:p>
        </w:tc>
        <w:tc>
          <w:tcPr>
            <w:tcW w:type="dxa" w:w="2016"/>
            <w:shd w:val="clear" w:color="auto" w:fill="F2F5F8"/>
          </w:tcPr>
          <w:p>
            <w:pPr>
              <w:spacing w:after="20" w:before="20"/>
              <w:jc w:val="right"/>
            </w:pPr>
            <w:r/>
            <w:r>
              <w:rPr>
                <w:rFonts w:ascii="Calibri" w:hAnsi="Calibri"/>
                <w:b w:val="0"/>
                <w:sz w:val="19"/>
              </w:rPr>
              <w:t>289.2</w:t>
            </w:r>
          </w:p>
        </w:tc>
        <w:tc>
          <w:tcPr>
            <w:tcW w:type="dxa" w:w="2448"/>
            <w:shd w:val="clear" w:color="auto" w:fill="F2F5F8"/>
          </w:tcPr>
          <w:p>
            <w:pPr>
              <w:spacing w:after="20" w:before="20"/>
              <w:jc w:val="right"/>
            </w:pPr>
            <w:r/>
            <w:r>
              <w:rPr>
                <w:rFonts w:ascii="Calibri" w:hAnsi="Calibri"/>
                <w:b w:val="0"/>
                <w:sz w:val="19"/>
              </w:rPr>
              <w:t>-5.5%</w:t>
            </w:r>
          </w:p>
        </w:tc>
      </w:tr>
      <w:tr>
        <w:tc>
          <w:tcPr>
            <w:tcW w:type="dxa" w:w="4176"/>
          </w:tcPr>
          <w:p>
            <w:pPr>
              <w:spacing w:after="20" w:before="20"/>
            </w:pPr>
            <w:r/>
            <w:r>
              <w:rPr>
                <w:rFonts w:ascii="Calibri" w:hAnsi="Calibri"/>
                <w:b/>
                <w:sz w:val="19"/>
              </w:rPr>
              <w:t>DPS (cents)</w:t>
            </w:r>
          </w:p>
        </w:tc>
        <w:tc>
          <w:tcPr>
            <w:tcW w:type="dxa" w:w="2016"/>
          </w:tcPr>
          <w:p>
            <w:pPr>
              <w:spacing w:after="20" w:before="20"/>
              <w:jc w:val="right"/>
            </w:pPr>
            <w:r/>
            <w:r>
              <w:rPr>
                <w:rFonts w:ascii="Calibri" w:hAnsi="Calibri"/>
                <w:b w:val="0"/>
                <w:sz w:val="19"/>
              </w:rPr>
              <w:t>188.0</w:t>
            </w:r>
          </w:p>
        </w:tc>
        <w:tc>
          <w:tcPr>
            <w:tcW w:type="dxa" w:w="2016"/>
          </w:tcPr>
          <w:p>
            <w:pPr>
              <w:spacing w:after="20" w:before="20"/>
              <w:jc w:val="right"/>
            </w:pPr>
            <w:r/>
            <w:r>
              <w:rPr>
                <w:rFonts w:ascii="Calibri" w:hAnsi="Calibri"/>
                <w:b w:val="0"/>
                <w:sz w:val="19"/>
              </w:rPr>
              <w:t>265.5</w:t>
            </w:r>
          </w:p>
        </w:tc>
        <w:tc>
          <w:tcPr>
            <w:tcW w:type="dxa" w:w="2448"/>
          </w:tcPr>
          <w:p>
            <w:pPr>
              <w:spacing w:after="20" w:before="20"/>
              <w:jc w:val="right"/>
            </w:pPr>
            <w:r/>
            <w:r>
              <w:rPr>
                <w:rFonts w:ascii="Calibri" w:hAnsi="Calibri"/>
                <w:b w:val="0"/>
                <w:sz w:val="19"/>
              </w:rPr>
              <w:t>-29.2%</w:t>
            </w:r>
          </w:p>
        </w:tc>
      </w:tr>
      <w:tr>
        <w:tc>
          <w:tcPr>
            <w:tcW w:type="dxa" w:w="4176"/>
            <w:shd w:val="clear" w:color="auto" w:fill="F2F5F8"/>
          </w:tcPr>
          <w:p>
            <w:pPr>
              <w:spacing w:after="20" w:before="20"/>
            </w:pPr>
            <w:r/>
            <w:r>
              <w:rPr>
                <w:rFonts w:ascii="Calibri" w:hAnsi="Calibri"/>
                <w:b/>
                <w:sz w:val="19"/>
              </w:rPr>
              <w:t>NAV per share (cents)</w:t>
            </w:r>
          </w:p>
        </w:tc>
        <w:tc>
          <w:tcPr>
            <w:tcW w:type="dxa" w:w="2016"/>
            <w:shd w:val="clear" w:color="auto" w:fill="F2F5F8"/>
          </w:tcPr>
          <w:p>
            <w:pPr>
              <w:spacing w:after="20" w:before="20"/>
              <w:jc w:val="right"/>
            </w:pPr>
            <w:r/>
            <w:r>
              <w:rPr>
                <w:rFonts w:ascii="Calibri" w:hAnsi="Calibri"/>
                <w:b w:val="0"/>
                <w:sz w:val="19"/>
              </w:rPr>
              <w:t>1,193.0</w:t>
            </w:r>
          </w:p>
        </w:tc>
        <w:tc>
          <w:tcPr>
            <w:tcW w:type="dxa" w:w="2016"/>
            <w:shd w:val="clear" w:color="auto" w:fill="F2F5F8"/>
          </w:tcPr>
          <w:p>
            <w:pPr>
              <w:spacing w:after="20" w:before="20"/>
              <w:jc w:val="right"/>
            </w:pPr>
            <w:r/>
            <w:r>
              <w:rPr>
                <w:rFonts w:ascii="Calibri" w:hAnsi="Calibri"/>
                <w:b w:val="0"/>
                <w:sz w:val="19"/>
              </w:rPr>
              <w:t>1,211.0</w:t>
            </w:r>
          </w:p>
        </w:tc>
        <w:tc>
          <w:tcPr>
            <w:tcW w:type="dxa" w:w="2448"/>
            <w:shd w:val="clear" w:color="auto" w:fill="F2F5F8"/>
          </w:tcPr>
          <w:p>
            <w:pPr>
              <w:spacing w:after="20" w:before="20"/>
              <w:jc w:val="right"/>
            </w:pPr>
            <w:r/>
            <w:r>
              <w:rPr>
                <w:rFonts w:ascii="Calibri" w:hAnsi="Calibri"/>
                <w:b w:val="0"/>
                <w:sz w:val="19"/>
              </w:rPr>
              <w:t>-1.5%</w:t>
            </w:r>
          </w:p>
        </w:tc>
      </w:tr>
    </w:tbl>
    <w:p>
      <w:pPr>
        <w:spacing w:after="80" w:line="259" w:lineRule="auto"/>
      </w:pPr>
      <w:r>
        <w:rPr>
          <w:sz w:val="17"/>
        </w:rPr>
        <w:t>FY2024 was a 53-week year and included David Jones / discontinued items, so headline % moves are not strictly like-for-like; management’s continuing-operations basis (HEPS -23.9%) is the comparable figure. FY2025 also booked a R792m profit on the Melbourne property disposal and impairments to underperforming CRG brands.</w:t>
      </w:r>
    </w:p>
    <w:p>
      <w:pPr>
        <w:spacing w:before="240" w:after="80"/>
        <w:pBdr>
          <w:bottom w:val="single" w:sz="6" w:space="2" w:color="2E75B6"/>
        </w:pBdr>
      </w:pPr>
      <w:r>
        <w:rPr>
          <w:rFonts w:ascii="Calibri" w:hAnsi="Calibri"/>
          <w:b/>
          <w:color w:val="1F3349"/>
          <w:sz w:val="28"/>
        </w:rPr>
        <w:t>3.  Growth Projections</w:t>
      </w:r>
    </w:p>
    <w:p>
      <w:pPr>
        <w:spacing w:after="120" w:line="259" w:lineRule="auto"/>
      </w:pPr>
      <w:r>
        <w:rPr>
          <w:sz w:val="21"/>
        </w:rPr>
        <w:t>WHL does not publish formal numeric guidance. Combining management commentary, the H1 FY2026 run-rate and sell-side consensus, our framework for the period is: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3349"/>
          </w:tcPr>
          <w:p>
            <w:pPr>
              <w:spacing w:after="20" w:before="20"/>
            </w:pPr>
            <w:r/>
            <w:r>
              <w:rPr>
                <w:rFonts w:ascii="Calibri" w:hAnsi="Calibri"/>
                <w:b/>
                <w:color w:val="FFFFFF"/>
                <w:sz w:val="19"/>
              </w:rPr>
              <w:t>Driver</w:t>
            </w:r>
          </w:p>
        </w:tc>
        <w:tc>
          <w:tcPr>
            <w:tcW w:type="dxa" w:w="4320"/>
            <w:shd w:val="clear" w:color="auto" w:fill="1F3349"/>
          </w:tcPr>
          <w:p>
            <w:pPr>
              <w:spacing w:after="20" w:before="20"/>
            </w:pPr>
            <w:r/>
            <w:r>
              <w:rPr>
                <w:rFonts w:ascii="Calibri" w:hAnsi="Calibri"/>
                <w:b/>
                <w:color w:val="FFFFFF"/>
                <w:sz w:val="19"/>
              </w:rPr>
              <w:t>12–18 month expectation</w:t>
            </w:r>
          </w:p>
        </w:tc>
        <w:tc>
          <w:tcPr>
            <w:tcW w:type="dxa" w:w="4032"/>
            <w:shd w:val="clear" w:color="auto" w:fill="1F3349"/>
          </w:tcPr>
          <w:p>
            <w:pPr>
              <w:spacing w:after="20" w:before="20"/>
            </w:pPr>
            <w:r/>
            <w:r>
              <w:rPr>
                <w:rFonts w:ascii="Calibri" w:hAnsi="Calibri"/>
                <w:b/>
                <w:color w:val="FFFFFF"/>
                <w:sz w:val="19"/>
              </w:rPr>
              <w:t>Basis</w:t>
            </w:r>
          </w:p>
        </w:tc>
      </w:tr>
      <w:tr>
        <w:tc>
          <w:tcPr>
            <w:tcW w:type="dxa" w:w="2304"/>
          </w:tcPr>
          <w:p>
            <w:pPr>
              <w:spacing w:after="20" w:before="20"/>
            </w:pPr>
            <w:r/>
            <w:r>
              <w:rPr>
                <w:rFonts w:ascii="Calibri" w:hAnsi="Calibri"/>
                <w:b/>
                <w:sz w:val="19"/>
              </w:rPr>
              <w:t>Group sales growth</w:t>
            </w:r>
          </w:p>
        </w:tc>
        <w:tc>
          <w:tcPr>
            <w:tcW w:type="dxa" w:w="4320"/>
          </w:tcPr>
          <w:p>
            <w:pPr>
              <w:spacing w:after="20" w:before="20"/>
            </w:pPr>
            <w:r/>
            <w:r>
              <w:rPr>
                <w:rFonts w:ascii="Calibri" w:hAnsi="Calibri"/>
                <w:b w:val="0"/>
                <w:sz w:val="19"/>
              </w:rPr>
              <w:t>Low-to-mid single digits (~5–7%)</w:t>
            </w:r>
          </w:p>
        </w:tc>
        <w:tc>
          <w:tcPr>
            <w:tcW w:type="dxa" w:w="4032"/>
          </w:tcPr>
          <w:p>
            <w:pPr>
              <w:spacing w:after="20" w:before="20"/>
            </w:pPr>
            <w:r/>
            <w:r>
              <w:rPr>
                <w:rFonts w:ascii="Calibri" w:hAnsi="Calibri"/>
                <w:b w:val="0"/>
                <w:sz w:val="19"/>
              </w:rPr>
              <w:t>H1 +5.4%; SA recovery vs. weak Australia</w:t>
            </w:r>
          </w:p>
        </w:tc>
      </w:tr>
      <w:tr>
        <w:tc>
          <w:tcPr>
            <w:tcW w:type="dxa" w:w="2304"/>
            <w:shd w:val="clear" w:color="auto" w:fill="F2F5F8"/>
          </w:tcPr>
          <w:p>
            <w:pPr>
              <w:spacing w:after="20" w:before="20"/>
            </w:pPr>
            <w:r/>
            <w:r>
              <w:rPr>
                <w:rFonts w:ascii="Calibri" w:hAnsi="Calibri"/>
                <w:b/>
                <w:sz w:val="19"/>
              </w:rPr>
              <w:t>HEPS growth (FY2026)</w:t>
            </w:r>
          </w:p>
        </w:tc>
        <w:tc>
          <w:tcPr>
            <w:tcW w:type="dxa" w:w="4320"/>
            <w:shd w:val="clear" w:color="auto" w:fill="F2F5F8"/>
          </w:tcPr>
          <w:p>
            <w:pPr>
              <w:spacing w:after="20" w:before="20"/>
            </w:pPr>
            <w:r/>
            <w:r>
              <w:rPr>
                <w:rFonts w:ascii="Calibri" w:hAnsi="Calibri"/>
                <w:b w:val="0"/>
                <w:sz w:val="19"/>
              </w:rPr>
              <w:t>Positive, high single / low double digit</w:t>
            </w:r>
          </w:p>
        </w:tc>
        <w:tc>
          <w:tcPr>
            <w:tcW w:type="dxa" w:w="4032"/>
            <w:shd w:val="clear" w:color="auto" w:fill="F2F5F8"/>
          </w:tcPr>
          <w:p>
            <w:pPr>
              <w:spacing w:after="20" w:before="20"/>
            </w:pPr>
            <w:r/>
            <w:r>
              <w:rPr>
                <w:rFonts w:ascii="Calibri" w:hAnsi="Calibri"/>
                <w:b w:val="0"/>
                <w:sz w:val="19"/>
              </w:rPr>
              <w:t>H1 +9.6%; investment drag easing</w:t>
            </w:r>
          </w:p>
        </w:tc>
      </w:tr>
      <w:tr>
        <w:tc>
          <w:tcPr>
            <w:tcW w:type="dxa" w:w="2304"/>
          </w:tcPr>
          <w:p>
            <w:pPr>
              <w:spacing w:after="20" w:before="20"/>
            </w:pPr>
            <w:r/>
            <w:r>
              <w:rPr>
                <w:rFonts w:ascii="Calibri" w:hAnsi="Calibri"/>
                <w:b/>
                <w:sz w:val="19"/>
              </w:rPr>
              <w:t>SA Food</w:t>
            </w:r>
          </w:p>
        </w:tc>
        <w:tc>
          <w:tcPr>
            <w:tcW w:type="dxa" w:w="4320"/>
          </w:tcPr>
          <w:p>
            <w:pPr>
              <w:spacing w:after="20" w:before="20"/>
            </w:pPr>
            <w:r/>
            <w:r>
              <w:rPr>
                <w:rFonts w:ascii="Calibri" w:hAnsi="Calibri"/>
                <w:b w:val="0"/>
                <w:sz w:val="19"/>
              </w:rPr>
              <w:t>Continued above-market (~7%+)</w:t>
            </w:r>
          </w:p>
        </w:tc>
        <w:tc>
          <w:tcPr>
            <w:tcW w:type="dxa" w:w="4032"/>
          </w:tcPr>
          <w:p>
            <w:pPr>
              <w:spacing w:after="20" w:before="20"/>
            </w:pPr>
            <w:r/>
            <w:r>
              <w:rPr>
                <w:rFonts w:ascii="Calibri" w:hAnsi="Calibri"/>
                <w:b w:val="0"/>
                <w:sz w:val="19"/>
              </w:rPr>
              <w:t>Unbroken market-share gains; Dash +23%</w:t>
            </w:r>
          </w:p>
        </w:tc>
      </w:tr>
      <w:tr>
        <w:tc>
          <w:tcPr>
            <w:tcW w:type="dxa" w:w="2304"/>
            <w:shd w:val="clear" w:color="auto" w:fill="F2F5F8"/>
          </w:tcPr>
          <w:p>
            <w:pPr>
              <w:spacing w:after="20" w:before="20"/>
            </w:pPr>
            <w:r/>
            <w:r>
              <w:rPr>
                <w:rFonts w:ascii="Calibri" w:hAnsi="Calibri"/>
                <w:b/>
                <w:sz w:val="19"/>
              </w:rPr>
              <w:t>SA FBH</w:t>
            </w:r>
          </w:p>
        </w:tc>
        <w:tc>
          <w:tcPr>
            <w:tcW w:type="dxa" w:w="4320"/>
            <w:shd w:val="clear" w:color="auto" w:fill="F2F5F8"/>
          </w:tcPr>
          <w:p>
            <w:pPr>
              <w:spacing w:after="20" w:before="20"/>
            </w:pPr>
            <w:r/>
            <w:r>
              <w:rPr>
                <w:rFonts w:ascii="Calibri" w:hAnsi="Calibri"/>
                <w:b w:val="0"/>
                <w:sz w:val="19"/>
              </w:rPr>
              <w:t>Mid-single-digit sales; margin recovery</w:t>
            </w:r>
          </w:p>
        </w:tc>
        <w:tc>
          <w:tcPr>
            <w:tcW w:type="dxa" w:w="4032"/>
            <w:shd w:val="clear" w:color="auto" w:fill="F2F5F8"/>
          </w:tcPr>
          <w:p>
            <w:pPr>
              <w:spacing w:after="20" w:before="20"/>
            </w:pPr>
            <w:r/>
            <w:r>
              <w:rPr>
                <w:rFonts w:ascii="Calibri" w:hAnsi="Calibri"/>
                <w:b w:val="0"/>
                <w:sz w:val="19"/>
              </w:rPr>
              <w:t>Volume positive; Beauty +8.9%, Home +14%</w:t>
            </w:r>
          </w:p>
        </w:tc>
      </w:tr>
      <w:tr>
        <w:tc>
          <w:tcPr>
            <w:tcW w:type="dxa" w:w="2304"/>
          </w:tcPr>
          <w:p>
            <w:pPr>
              <w:spacing w:after="20" w:before="20"/>
            </w:pPr>
            <w:r/>
            <w:r>
              <w:rPr>
                <w:rFonts w:ascii="Calibri" w:hAnsi="Calibri"/>
                <w:b/>
                <w:sz w:val="19"/>
              </w:rPr>
              <w:t>Country Road Group</w:t>
            </w:r>
          </w:p>
        </w:tc>
        <w:tc>
          <w:tcPr>
            <w:tcW w:type="dxa" w:w="4320"/>
          </w:tcPr>
          <w:p>
            <w:pPr>
              <w:spacing w:after="20" w:before="20"/>
            </w:pPr>
            <w:r/>
            <w:r>
              <w:rPr>
                <w:rFonts w:ascii="Calibri" w:hAnsi="Calibri"/>
                <w:b w:val="0"/>
                <w:sz w:val="19"/>
              </w:rPr>
              <w:t>Low-single-digit sales; thin margin</w:t>
            </w:r>
          </w:p>
        </w:tc>
        <w:tc>
          <w:tcPr>
            <w:tcW w:type="dxa" w:w="4032"/>
          </w:tcPr>
          <w:p>
            <w:pPr>
              <w:spacing w:after="20" w:before="20"/>
            </w:pPr>
            <w:r/>
            <w:r>
              <w:rPr>
                <w:rFonts w:ascii="Calibri" w:hAnsi="Calibri"/>
                <w:b w:val="0"/>
                <w:sz w:val="19"/>
              </w:rPr>
              <w:t>Turnaround fragile; weak AU consumer</w:t>
            </w:r>
          </w:p>
        </w:tc>
      </w:tr>
      <w:tr>
        <w:tc>
          <w:tcPr>
            <w:tcW w:type="dxa" w:w="2304"/>
            <w:shd w:val="clear" w:color="auto" w:fill="F2F5F8"/>
          </w:tcPr>
          <w:p>
            <w:pPr>
              <w:spacing w:after="20" w:before="20"/>
            </w:pPr>
            <w:r/>
            <w:r>
              <w:rPr>
                <w:rFonts w:ascii="Calibri" w:hAnsi="Calibri"/>
                <w:b/>
                <w:sz w:val="19"/>
              </w:rPr>
              <w:t>Dividend</w:t>
            </w:r>
          </w:p>
        </w:tc>
        <w:tc>
          <w:tcPr>
            <w:tcW w:type="dxa" w:w="4320"/>
            <w:shd w:val="clear" w:color="auto" w:fill="F2F5F8"/>
          </w:tcPr>
          <w:p>
            <w:pPr>
              <w:spacing w:after="20" w:before="20"/>
            </w:pPr>
            <w:r/>
            <w:r>
              <w:rPr>
                <w:rFonts w:ascii="Calibri" w:hAnsi="Calibri"/>
                <w:b w:val="0"/>
                <w:sz w:val="19"/>
              </w:rPr>
              <w:t>~70% payout maintained</w:t>
            </w:r>
          </w:p>
        </w:tc>
        <w:tc>
          <w:tcPr>
            <w:tcW w:type="dxa" w:w="4032"/>
            <w:shd w:val="clear" w:color="auto" w:fill="F2F5F8"/>
          </w:tcPr>
          <w:p>
            <w:pPr>
              <w:spacing w:after="20" w:before="20"/>
            </w:pPr>
            <w:r/>
            <w:r>
              <w:rPr>
                <w:rFonts w:ascii="Calibri" w:hAnsi="Calibri"/>
                <w:b w:val="0"/>
                <w:sz w:val="19"/>
              </w:rPr>
              <w:t>Policy reaffirmed; buyback ongoing</w:t>
            </w:r>
          </w:p>
        </w:tc>
      </w:tr>
      <w:tr>
        <w:tc>
          <w:tcPr>
            <w:tcW w:type="dxa" w:w="2304"/>
          </w:tcPr>
          <w:p>
            <w:pPr>
              <w:spacing w:after="20" w:before="20"/>
            </w:pPr>
            <w:r/>
            <w:r>
              <w:rPr>
                <w:rFonts w:ascii="Calibri" w:hAnsi="Calibri"/>
                <w:b/>
                <w:sz w:val="19"/>
              </w:rPr>
              <w:t>Consensus rating / target</w:t>
            </w:r>
          </w:p>
        </w:tc>
        <w:tc>
          <w:tcPr>
            <w:tcW w:type="dxa" w:w="4320"/>
          </w:tcPr>
          <w:p>
            <w:pPr>
              <w:spacing w:after="20" w:before="20"/>
            </w:pPr>
            <w:r/>
            <w:r>
              <w:rPr>
                <w:rFonts w:ascii="Calibri" w:hAnsi="Calibri"/>
                <w:b w:val="0"/>
                <w:sz w:val="19"/>
              </w:rPr>
              <w:t>“Outperform”; ~R60 (range R53–R70)</w:t>
            </w:r>
          </w:p>
        </w:tc>
        <w:tc>
          <w:tcPr>
            <w:tcW w:type="dxa" w:w="4032"/>
          </w:tcPr>
          <w:p>
            <w:pPr>
              <w:spacing w:after="20" w:before="20"/>
            </w:pPr>
            <w:r/>
            <w:r>
              <w:rPr>
                <w:rFonts w:ascii="Calibri" w:hAnsi="Calibri"/>
                <w:b w:val="0"/>
                <w:sz w:val="19"/>
              </w:rPr>
              <w:t>vs. ~R50.65 (mid-May 2026), ~19% upside</w:t>
            </w:r>
          </w:p>
        </w:tc>
      </w:tr>
    </w:tbl>
    <w:p>
      <w:pPr>
        <w:spacing w:after="120" w:line="259" w:lineRule="auto"/>
      </w:pPr>
      <w:r>
        <w:rPr>
          <w:sz w:val="21"/>
        </w:rPr>
        <w:t>Key growth engines: (i) Woolies Dash / online (now 7.2% of SA Food, growing &gt;20%); (ii) Woolworths Ventures — the “growth accelerator” housing Food Services, WCellar, Pet (Absolute Pets) and WEdit, which delivered mid-teens sales growth and &gt;20% profit growth in FY2025; (iii) Beauty, where WHL is the #1 SA destination with 1m+ loyalty customers; and (iv) CRG’s new wholesale/marketplace model (third-party brands added to Country Road and Witchery sites from Nov 2025).</w:t>
      </w:r>
    </w:p>
    <w:p>
      <w:pPr>
        <w:spacing w:before="240" w:after="80"/>
        <w:pBdr>
          <w:bottom w:val="single" w:sz="6" w:space="2" w:color="2E75B6"/>
        </w:pBdr>
      </w:pPr>
      <w:r>
        <w:rPr>
          <w:rFonts w:ascii="Calibri" w:hAnsi="Calibri"/>
          <w:b/>
          <w:color w:val="1F3349"/>
          <w:sz w:val="28"/>
        </w:rPr>
        <w:t>4.  Management Incentives</w:t>
      </w:r>
    </w:p>
    <w:p>
      <w:pPr>
        <w:spacing w:after="120" w:line="259" w:lineRule="auto"/>
      </w:pPr>
      <w:r>
        <w:rPr>
          <w:sz w:val="21"/>
        </w:rPr>
        <w:t>WHL’s remuneration is structured as Guaranteed Pay + Short-Term Incentive (STI) + Long-Term Incentive (LTI). Crucially for an investment view, FY2025 demonstrated the scheme actually flexes with performance — the CEO earned zero STI and only 55% LTI vesting.</w:t>
      </w:r>
    </w:p>
    <w:p>
      <w:pPr>
        <w:spacing w:before="160" w:after="40"/>
      </w:pPr>
      <w:r>
        <w:rPr>
          <w:b/>
          <w:color w:val="2E75B6"/>
          <w:sz w:val="22"/>
        </w:rPr>
        <w:t>Long-Term Incentive (Performance Share Plan, 3-year, tested over rolling period)</w:t>
      </w:r>
    </w:p>
    <w:tbl>
      <w:tblPr>
        <w:tblStyle w:val="TableGrid"/>
        <w:tblW w:type="auto" w:w="0"/>
        <w:jc w:val="center"/>
        <w:tblLook w:firstColumn="1" w:firstRow="1" w:lastColumn="0" w:lastRow="0" w:noHBand="0" w:noVBand="1" w:val="04A0"/>
      </w:tblPr>
      <w:tblGrid>
        <w:gridCol w:w="2880"/>
        <w:gridCol w:w="2880"/>
        <w:gridCol w:w="2880"/>
      </w:tblGrid>
      <w:tr>
        <w:tc>
          <w:tcPr>
            <w:tcW w:type="dxa" w:w="3312"/>
            <w:shd w:val="clear" w:color="auto" w:fill="1F3349"/>
          </w:tcPr>
          <w:p>
            <w:pPr>
              <w:spacing w:after="20" w:before="20"/>
            </w:pPr>
            <w:r/>
            <w:r>
              <w:rPr>
                <w:rFonts w:ascii="Calibri" w:hAnsi="Calibri"/>
                <w:b/>
                <w:color w:val="FFFFFF"/>
                <w:sz w:val="19"/>
              </w:rPr>
              <w:t>LTI measure</w:t>
            </w:r>
          </w:p>
        </w:tc>
        <w:tc>
          <w:tcPr>
            <w:tcW w:type="dxa" w:w="2016"/>
            <w:shd w:val="clear" w:color="auto" w:fill="1F3349"/>
          </w:tcPr>
          <w:p>
            <w:pPr>
              <w:spacing w:after="20" w:before="20"/>
              <w:jc w:val="center"/>
            </w:pPr>
            <w:r/>
            <w:r>
              <w:rPr>
                <w:rFonts w:ascii="Calibri" w:hAnsi="Calibri"/>
                <w:b/>
                <w:color w:val="FFFFFF"/>
                <w:sz w:val="19"/>
              </w:rPr>
              <w:t>Weighting</w:t>
            </w:r>
          </w:p>
        </w:tc>
        <w:tc>
          <w:tcPr>
            <w:tcW w:type="dxa" w:w="5328"/>
            <w:shd w:val="clear" w:color="auto" w:fill="1F3349"/>
          </w:tcPr>
          <w:p>
            <w:pPr>
              <w:spacing w:after="20" w:before="20"/>
            </w:pPr>
            <w:r/>
            <w:r>
              <w:rPr>
                <w:rFonts w:ascii="Calibri" w:hAnsi="Calibri"/>
                <w:b/>
                <w:color w:val="FFFFFF"/>
                <w:sz w:val="19"/>
              </w:rPr>
              <w:t>Target / condition</w:t>
            </w:r>
          </w:p>
        </w:tc>
      </w:tr>
      <w:tr>
        <w:tc>
          <w:tcPr>
            <w:tcW w:type="dxa" w:w="3312"/>
          </w:tcPr>
          <w:p>
            <w:pPr>
              <w:spacing w:after="20" w:before="20"/>
            </w:pPr>
            <w:r/>
            <w:r>
              <w:rPr>
                <w:rFonts w:ascii="Calibri" w:hAnsi="Calibri"/>
                <w:b/>
                <w:sz w:val="19"/>
              </w:rPr>
              <w:t>Adjusted HEPS growth</w:t>
            </w:r>
          </w:p>
        </w:tc>
        <w:tc>
          <w:tcPr>
            <w:tcW w:type="dxa" w:w="2016"/>
          </w:tcPr>
          <w:p>
            <w:pPr>
              <w:spacing w:after="20" w:before="20"/>
              <w:jc w:val="center"/>
            </w:pPr>
            <w:r/>
            <w:r>
              <w:rPr>
                <w:rFonts w:ascii="Calibri" w:hAnsi="Calibri"/>
                <w:b w:val="0"/>
                <w:sz w:val="19"/>
              </w:rPr>
              <w:t>40% (unchanged)</w:t>
            </w:r>
          </w:p>
        </w:tc>
        <w:tc>
          <w:tcPr>
            <w:tcW w:type="dxa" w:w="5328"/>
          </w:tcPr>
          <w:p>
            <w:pPr>
              <w:spacing w:after="20" w:before="20"/>
            </w:pPr>
            <w:r/>
            <w:r>
              <w:rPr>
                <w:rFonts w:ascii="Calibri" w:hAnsi="Calibri"/>
                <w:b w:val="0"/>
                <w:sz w:val="19"/>
              </w:rPr>
              <w:t>Tested vs. SA CPI threshold</w:t>
            </w:r>
          </w:p>
        </w:tc>
      </w:tr>
      <w:tr>
        <w:tc>
          <w:tcPr>
            <w:tcW w:type="dxa" w:w="3312"/>
            <w:shd w:val="clear" w:color="auto" w:fill="F2F5F8"/>
          </w:tcPr>
          <w:p>
            <w:pPr>
              <w:spacing w:after="20" w:before="20"/>
            </w:pPr>
            <w:r/>
            <w:r>
              <w:rPr>
                <w:rFonts w:ascii="Calibri" w:hAnsi="Calibri"/>
                <w:b/>
                <w:sz w:val="19"/>
              </w:rPr>
              <w:t>ROCE</w:t>
            </w:r>
          </w:p>
        </w:tc>
        <w:tc>
          <w:tcPr>
            <w:tcW w:type="dxa" w:w="2016"/>
            <w:shd w:val="clear" w:color="auto" w:fill="F2F5F8"/>
          </w:tcPr>
          <w:p>
            <w:pPr>
              <w:spacing w:after="20" w:before="20"/>
              <w:jc w:val="center"/>
            </w:pPr>
            <w:r/>
            <w:r>
              <w:rPr>
                <w:rFonts w:ascii="Calibri" w:hAnsi="Calibri"/>
                <w:b w:val="0"/>
                <w:sz w:val="19"/>
              </w:rPr>
              <w:t>45% (raised from 40%)</w:t>
            </w:r>
          </w:p>
        </w:tc>
        <w:tc>
          <w:tcPr>
            <w:tcW w:type="dxa" w:w="5328"/>
            <w:shd w:val="clear" w:color="auto" w:fill="F2F5F8"/>
          </w:tcPr>
          <w:p>
            <w:pPr>
              <w:spacing w:after="20" w:before="20"/>
            </w:pPr>
            <w:r/>
            <w:r>
              <w:rPr>
                <w:rFonts w:ascii="Calibri" w:hAnsi="Calibri"/>
                <w:b w:val="0"/>
                <w:sz w:val="19"/>
              </w:rPr>
              <w:t>Threshold WACC+3%; target WACC+7% (~19% ROCE)</w:t>
            </w:r>
          </w:p>
        </w:tc>
      </w:tr>
      <w:tr>
        <w:tc>
          <w:tcPr>
            <w:tcW w:type="dxa" w:w="3312"/>
          </w:tcPr>
          <w:p>
            <w:pPr>
              <w:spacing w:after="20" w:before="20"/>
            </w:pPr>
            <w:r/>
            <w:r>
              <w:rPr>
                <w:rFonts w:ascii="Calibri" w:hAnsi="Calibri"/>
                <w:b/>
                <w:sz w:val="19"/>
              </w:rPr>
              <w:t>ESG</w:t>
            </w:r>
          </w:p>
        </w:tc>
        <w:tc>
          <w:tcPr>
            <w:tcW w:type="dxa" w:w="2016"/>
          </w:tcPr>
          <w:p>
            <w:pPr>
              <w:spacing w:after="20" w:before="20"/>
              <w:jc w:val="center"/>
            </w:pPr>
            <w:r/>
            <w:r>
              <w:rPr>
                <w:rFonts w:ascii="Calibri" w:hAnsi="Calibri"/>
                <w:b w:val="0"/>
                <w:sz w:val="19"/>
              </w:rPr>
              <w:t>15% (cut from 20%)</w:t>
            </w:r>
          </w:p>
        </w:tc>
        <w:tc>
          <w:tcPr>
            <w:tcW w:type="dxa" w:w="5328"/>
          </w:tcPr>
          <w:p>
            <w:pPr>
              <w:spacing w:after="20" w:before="20"/>
            </w:pPr>
            <w:r/>
            <w:r>
              <w:rPr>
                <w:rFonts w:ascii="Calibri" w:hAnsi="Calibri"/>
                <w:b w:val="0"/>
                <w:sz w:val="19"/>
              </w:rPr>
              <w:t>Transformation + environmental targets</w:t>
            </w:r>
          </w:p>
        </w:tc>
      </w:tr>
    </w:tbl>
    <w:p>
      <w:pPr>
        <w:spacing w:after="80" w:line="259" w:lineRule="auto"/>
      </w:pPr>
      <w:r>
        <w:rPr>
          <w:sz w:val="21"/>
        </w:rPr>
        <w:t>The Sept-2022 PSP tranche (tested to FY2025) vested at 55%: zero on adHEPS (below CPI threshold), full on ROCE (above WACC target), 50% on ESG. Weightings were re-tilted toward ROCE and away from ESG in direct response to shareholder feedback. LTI allocation caps: CEO 150% of guaranteed pay; FD / Food CEO / Exco 100%.</w:t>
      </w:r>
    </w:p>
    <w:p>
      <w:pPr>
        <w:spacing w:before="160" w:after="40"/>
      </w:pPr>
      <w:r>
        <w:rPr>
          <w:b/>
          <w:color w:val="2E75B6"/>
          <w:sz w:val="22"/>
        </w:rPr>
        <w:t>Short-Term Incentive (financial + strategic components)</w:t>
      </w:r>
    </w:p>
    <w:p>
      <w:pPr>
        <w:pStyle w:val="ListBullet"/>
        <w:spacing w:after="60"/>
      </w:pPr>
      <w:r>
        <w:rPr>
          <w:sz w:val="21"/>
        </w:rPr>
        <w:t>Gatekeepers: ≥90% of adjusted PBT/EBIT to earn the financial component; ≥80% for the strategic component.</w:t>
      </w:r>
    </w:p>
    <w:p>
      <w:pPr>
        <w:pStyle w:val="ListBullet"/>
        <w:spacing w:after="60"/>
      </w:pPr>
      <w:r>
        <w:rPr>
          <w:sz w:val="21"/>
        </w:rPr>
        <w:t>FY2025 outcome: the Group gatekeeper was NOT met — CEO received zero STI. CRG missed both; Woolworths SA (and especially Food) cleared thresholds, so Food CEO Sam Ngumeni did earn an STI.</w:t>
      </w:r>
    </w:p>
    <w:p>
      <w:pPr>
        <w:pStyle w:val="ListBullet"/>
        <w:spacing w:after="60"/>
      </w:pPr>
      <w:r>
        <w:rPr>
          <w:sz w:val="21"/>
        </w:rPr>
        <w:t>STI opportunity: CEO on-target-to-stretch 100–150% of pay; FD / Food CEO / Exco 80–150%.</w:t>
      </w:r>
    </w:p>
    <w:p>
      <w:pPr>
        <w:spacing w:before="160" w:after="40"/>
      </w:pPr>
      <w:r>
        <w:rPr>
          <w:b/>
          <w:color w:val="2E75B6"/>
          <w:sz w:val="22"/>
        </w:rPr>
        <w:t>Alignment signals &amp; governance flag</w:t>
      </w:r>
    </w:p>
    <w:p>
      <w:pPr>
        <w:pStyle w:val="ListBullet"/>
        <w:spacing w:after="60"/>
      </w:pPr>
      <w:r>
        <w:rPr>
          <w:sz w:val="21"/>
        </w:rPr>
        <w:t>CEO Roy Bagattini’s minimum shareholding is now 430% of guaranteed pay (vs. a 200% requirement) — strong skin in the game.</w:t>
      </w:r>
    </w:p>
    <w:p>
      <w:pPr>
        <w:pStyle w:val="ListBullet"/>
        <w:spacing w:after="60"/>
      </w:pPr>
      <w:r>
        <w:rPr>
          <w:sz w:val="21"/>
        </w:rPr>
        <w:t>Governance watch-item: at the November 2025 AGM, 37.6% of shareholders voted against the (non-binding) remuneration policy. Under King IV this obliges board engagement; WHL’s single-figure CEO pay rose to ~R79.9m (from R65.3m), and Bagattini sold ~R37m of shares amid the pushback — a sentiment, not solvency, issue, but one the IC should track.</w:t>
      </w:r>
    </w:p>
    <w:p>
      <w:pPr>
        <w:spacing w:before="240" w:after="80"/>
        <w:pBdr>
          <w:bottom w:val="single" w:sz="6" w:space="2" w:color="2E75B6"/>
        </w:pBdr>
      </w:pPr>
      <w:r>
        <w:rPr>
          <w:rFonts w:ascii="Calibri" w:hAnsi="Calibri"/>
          <w:b/>
          <w:color w:val="1F3349"/>
          <w:sz w:val="28"/>
        </w:rPr>
        <w:t>5.  Core Risks &amp; Challenges (next 12–18 months)</w:t>
      </w:r>
    </w:p>
    <w:p>
      <w:pPr>
        <w:spacing w:before="160" w:after="40"/>
      </w:pPr>
      <w:r>
        <w:rPr>
          <w:b/>
          <w:color w:val="2E75B6"/>
          <w:sz w:val="22"/>
        </w:rPr>
        <w:t>Operational / strategic</w:t>
      </w:r>
    </w:p>
    <w:p>
      <w:pPr>
        <w:pStyle w:val="ListBullet"/>
        <w:spacing w:after="60"/>
      </w:pPr>
      <w:r>
        <w:rPr>
          <w:sz w:val="21"/>
        </w:rPr>
        <w:t>Country Road Group fragility: the turnaround is early and shallow (H1 operating margin just 2.6%). A weak Australian consumer, RBA rate hike and heavy sector discounting could stall it; FY2025 saw CRG aEBITDA fall 41%. Execution risk under new MD Steven Cook (in seat since Jul 2025).</w:t>
      </w:r>
    </w:p>
    <w:p>
      <w:pPr>
        <w:pStyle w:val="ListBullet"/>
        <w:spacing w:after="60"/>
      </w:pPr>
      <w:r>
        <w:rPr>
          <w:sz w:val="21"/>
        </w:rPr>
        <w:t>FBH gross-margin recovery: H1 GP margin fell 50bps to 45.8% on price investment (Kidswear) and inventory clearance. The thesis needs margin to inflect as volumes normalise; failure would cap earnings leverage.</w:t>
      </w:r>
    </w:p>
    <w:p>
      <w:pPr>
        <w:pStyle w:val="ListBullet"/>
        <w:spacing w:after="60"/>
      </w:pPr>
      <w:r>
        <w:rPr>
          <w:sz w:val="21"/>
        </w:rPr>
        <w:t>Margin drag from investment: Midrand DC depreciation and online mix dilution continue to weigh on Food GP margin near-term.</w:t>
      </w:r>
    </w:p>
    <w:p>
      <w:pPr>
        <w:spacing w:before="160" w:after="40"/>
      </w:pPr>
      <w:r>
        <w:rPr>
          <w:b/>
          <w:color w:val="2E75B6"/>
          <w:sz w:val="22"/>
        </w:rPr>
        <w:t>Macro / consumer</w:t>
      </w:r>
    </w:p>
    <w:p>
      <w:pPr>
        <w:pStyle w:val="ListBullet"/>
        <w:spacing w:after="60"/>
      </w:pPr>
      <w:r>
        <w:rPr>
          <w:sz w:val="21"/>
        </w:rPr>
        <w:t>SA discretionary spend: still subdued; recovery depends on the pace of SARB rate cuts. WHL’s middle-to-upper-income base is more resilient than peers but not immune.</w:t>
      </w:r>
    </w:p>
    <w:p>
      <w:pPr>
        <w:pStyle w:val="ListBullet"/>
        <w:spacing w:after="60"/>
      </w:pPr>
      <w:r>
        <w:rPr>
          <w:sz w:val="21"/>
        </w:rPr>
        <w:t>Currency &amp; imported inflation: ZAR (FBH/Food imports) and AUD (CRG input costs) weakness inflate cost of goods — see Section 6.</w:t>
      </w:r>
    </w:p>
    <w:p>
      <w:pPr>
        <w:pStyle w:val="ListBullet"/>
        <w:spacing w:after="60"/>
      </w:pPr>
      <w:r>
        <w:rPr>
          <w:sz w:val="21"/>
        </w:rPr>
        <w:t>Global trade / tariffs &amp; geopolitics: management explicitly flags US tariff uncertainty as a headwind to the macro outlook.</w:t>
      </w:r>
    </w:p>
    <w:p>
      <w:pPr>
        <w:spacing w:before="160" w:after="40"/>
      </w:pPr>
      <w:r>
        <w:rPr>
          <w:b/>
          <w:color w:val="2E75B6"/>
          <w:sz w:val="22"/>
        </w:rPr>
        <w:t>Financial / governance</w:t>
      </w:r>
    </w:p>
    <w:p>
      <w:pPr>
        <w:pStyle w:val="ListBullet"/>
        <w:spacing w:after="60"/>
      </w:pPr>
      <w:r>
        <w:rPr>
          <w:sz w:val="21"/>
        </w:rPr>
        <w:t>Gearing: net borrowings rose to R5.8bn; net debt/EBITDA 1.48x is within target but leaves less slack if trading disappoints while the buyback runs.</w:t>
      </w:r>
    </w:p>
    <w:p>
      <w:pPr>
        <w:pStyle w:val="ListBullet"/>
        <w:spacing w:after="60"/>
      </w:pPr>
      <w:r>
        <w:rPr>
          <w:sz w:val="21"/>
        </w:rPr>
        <w:t>Remuneration vote (37.6% against) — reputational/governance overhang, not financial.</w:t>
      </w:r>
    </w:p>
    <w:p>
      <w:pPr>
        <w:pStyle w:val="ListBullet"/>
        <w:spacing w:after="60"/>
      </w:pPr>
      <w:r>
        <w:rPr>
          <w:sz w:val="21"/>
        </w:rPr>
        <w:t>No going-concern, audit-opinion, covenant-breach or restatement flags identified in available documents. SENS over the period is routine (29 Jan 2026 trading statement; 3 Mar 2026 interims; share-plan dealings) — no undisclosed corporate action.</w:t>
      </w:r>
    </w:p>
    <w:p>
      <w:pPr>
        <w:spacing w:before="240" w:after="80"/>
        <w:pBdr>
          <w:bottom w:val="single" w:sz="6" w:space="2" w:color="2E75B6"/>
        </w:pBdr>
      </w:pPr>
      <w:r>
        <w:rPr>
          <w:rFonts w:ascii="Calibri" w:hAnsi="Calibri"/>
          <w:b/>
          <w:color w:val="1F3349"/>
          <w:sz w:val="28"/>
        </w:rPr>
        <w:t>6.  Scenario: Rand Depreciates 10–15% vs USD</w:t>
      </w:r>
    </w:p>
    <w:p>
      <w:pPr>
        <w:spacing w:after="120" w:line="259" w:lineRule="auto"/>
      </w:pPr>
      <w:r>
        <w:rPr>
          <w:sz w:val="21"/>
        </w:rPr>
        <w:t>WHL has a two-sided FX profile, so a weaker rand is not uniformly bad. The transactional hit (imported merchandise costs more in ZAR) is partly offset by a translation tailwind (CRG’s AUD earnings and Australian net cash convert into more rands, since the ZAR typically weakens against the AUD alongside the USD in risk-off moves). Net effect over 12–18 months: a mild, lagged headwind to margins — not thesis-breaking — with the larger danger being indirect (demand).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349"/>
          </w:tcPr>
          <w:p>
            <w:pPr>
              <w:spacing w:after="20" w:before="20"/>
            </w:pPr>
            <w:r/>
            <w:r>
              <w:rPr>
                <w:rFonts w:ascii="Calibri" w:hAnsi="Calibri"/>
                <w:b/>
                <w:color w:val="FFFFFF"/>
                <w:sz w:val="19"/>
              </w:rPr>
              <w:t>Channel</w:t>
            </w:r>
          </w:p>
        </w:tc>
        <w:tc>
          <w:tcPr>
            <w:tcW w:type="dxa" w:w="1440"/>
            <w:shd w:val="clear" w:color="auto" w:fill="1F3349"/>
          </w:tcPr>
          <w:p>
            <w:pPr>
              <w:spacing w:after="20" w:before="20"/>
              <w:jc w:val="center"/>
            </w:pPr>
            <w:r/>
            <w:r>
              <w:rPr>
                <w:rFonts w:ascii="Calibri" w:hAnsi="Calibri"/>
                <w:b/>
                <w:color w:val="FFFFFF"/>
                <w:sz w:val="19"/>
              </w:rPr>
              <w:t>Direction</w:t>
            </w:r>
          </w:p>
        </w:tc>
        <w:tc>
          <w:tcPr>
            <w:tcW w:type="dxa" w:w="5760"/>
            <w:shd w:val="clear" w:color="auto" w:fill="1F3349"/>
          </w:tcPr>
          <w:p>
            <w:pPr>
              <w:spacing w:after="20" w:before="20"/>
            </w:pPr>
            <w:r/>
            <w:r>
              <w:rPr>
                <w:rFonts w:ascii="Calibri" w:hAnsi="Calibri"/>
                <w:b/>
                <w:color w:val="FFFFFF"/>
                <w:sz w:val="19"/>
              </w:rPr>
              <w:t>Magnitude / commentary</w:t>
            </w:r>
          </w:p>
        </w:tc>
      </w:tr>
      <w:tr>
        <w:tc>
          <w:tcPr>
            <w:tcW w:type="dxa" w:w="2880"/>
          </w:tcPr>
          <w:p>
            <w:pPr>
              <w:spacing w:after="20" w:before="20"/>
            </w:pPr>
            <w:r/>
            <w:r>
              <w:rPr>
                <w:rFonts w:ascii="Calibri" w:hAnsi="Calibri"/>
                <w:b/>
                <w:sz w:val="19"/>
              </w:rPr>
              <w:t>FBH imported merchandise (apparel, beauty)</w:t>
            </w:r>
          </w:p>
        </w:tc>
        <w:tc>
          <w:tcPr>
            <w:tcW w:type="dxa" w:w="1440"/>
          </w:tcPr>
          <w:p>
            <w:pPr>
              <w:spacing w:after="20" w:before="20"/>
              <w:jc w:val="center"/>
            </w:pPr>
            <w:r/>
            <w:r>
              <w:rPr>
                <w:rFonts w:ascii="Calibri" w:hAnsi="Calibri"/>
                <w:b w:val="0"/>
                <w:sz w:val="19"/>
              </w:rPr>
              <w:t>Negative</w:t>
            </w:r>
          </w:p>
        </w:tc>
        <w:tc>
          <w:tcPr>
            <w:tcW w:type="dxa" w:w="5760"/>
          </w:tcPr>
          <w:p>
            <w:pPr>
              <w:spacing w:after="20" w:before="20"/>
            </w:pPr>
            <w:r/>
            <w:r>
              <w:rPr>
                <w:rFonts w:ascii="Calibri" w:hAnsi="Calibri"/>
                <w:b w:val="0"/>
                <w:sz w:val="19"/>
              </w:rPr>
              <w:t>Most import-exposed line; landed USD cost up ~10–15% on next buying cycle. Lagged 6–12 months by forward cover; pressures the 45.8% GP margin unless passed to price.</w:t>
            </w:r>
          </w:p>
        </w:tc>
      </w:tr>
      <w:tr>
        <w:tc>
          <w:tcPr>
            <w:tcW w:type="dxa" w:w="2880"/>
            <w:shd w:val="clear" w:color="auto" w:fill="F2F5F8"/>
          </w:tcPr>
          <w:p>
            <w:pPr>
              <w:spacing w:after="20" w:before="20"/>
            </w:pPr>
            <w:r/>
            <w:r>
              <w:rPr>
                <w:rFonts w:ascii="Calibri" w:hAnsi="Calibri"/>
                <w:b/>
                <w:sz w:val="19"/>
              </w:rPr>
              <w:t>Food imported inputs</w:t>
            </w:r>
          </w:p>
        </w:tc>
        <w:tc>
          <w:tcPr>
            <w:tcW w:type="dxa" w:w="1440"/>
            <w:shd w:val="clear" w:color="auto" w:fill="F2F5F8"/>
          </w:tcPr>
          <w:p>
            <w:pPr>
              <w:spacing w:after="20" w:before="20"/>
              <w:jc w:val="center"/>
            </w:pPr>
            <w:r/>
            <w:r>
              <w:rPr>
                <w:rFonts w:ascii="Calibri" w:hAnsi="Calibri"/>
                <w:b w:val="0"/>
                <w:sz w:val="19"/>
              </w:rPr>
              <w:t>Mild negative</w:t>
            </w:r>
          </w:p>
        </w:tc>
        <w:tc>
          <w:tcPr>
            <w:tcW w:type="dxa" w:w="5760"/>
            <w:shd w:val="clear" w:color="auto" w:fill="F2F5F8"/>
          </w:tcPr>
          <w:p>
            <w:pPr>
              <w:spacing w:after="20" w:before="20"/>
            </w:pPr>
            <w:r/>
            <w:r>
              <w:rPr>
                <w:rFonts w:ascii="Calibri" w:hAnsi="Calibri"/>
                <w:b w:val="0"/>
                <w:sz w:val="19"/>
              </w:rPr>
              <w:t>Largely locally sourced/manufactured; some USD-priced lines, packaging &amp; commodity inputs. Food (65% of sales) is the most insulated — cushions the group.</w:t>
            </w:r>
          </w:p>
        </w:tc>
      </w:tr>
      <w:tr>
        <w:tc>
          <w:tcPr>
            <w:tcW w:type="dxa" w:w="2880"/>
          </w:tcPr>
          <w:p>
            <w:pPr>
              <w:spacing w:after="20" w:before="20"/>
            </w:pPr>
            <w:r/>
            <w:r>
              <w:rPr>
                <w:rFonts w:ascii="Calibri" w:hAnsi="Calibri"/>
                <w:b/>
                <w:sz w:val="19"/>
              </w:rPr>
              <w:t>CRG AUD earnings translation</w:t>
            </w:r>
          </w:p>
        </w:tc>
        <w:tc>
          <w:tcPr>
            <w:tcW w:type="dxa" w:w="1440"/>
          </w:tcPr>
          <w:p>
            <w:pPr>
              <w:spacing w:after="20" w:before="20"/>
              <w:jc w:val="center"/>
            </w:pPr>
            <w:r/>
            <w:r>
              <w:rPr>
                <w:rFonts w:ascii="Calibri" w:hAnsi="Calibri"/>
                <w:b w:val="0"/>
                <w:sz w:val="19"/>
              </w:rPr>
              <w:t>Positive</w:t>
            </w:r>
          </w:p>
        </w:tc>
        <w:tc>
          <w:tcPr>
            <w:tcW w:type="dxa" w:w="5760"/>
          </w:tcPr>
          <w:p>
            <w:pPr>
              <w:spacing w:after="20" w:before="20"/>
            </w:pPr>
            <w:r/>
            <w:r>
              <w:rPr>
                <w:rFonts w:ascii="Calibri" w:hAnsi="Calibri"/>
                <w:b w:val="0"/>
                <w:sz w:val="19"/>
              </w:rPr>
              <w:t>~15% of group sales in AUD. If ZAR also weakens ~10–15% vs AUD, CRG’s ZAR contribution rises proportionately on translation — but CRG’s thin 2.6% margin limits the rand uplift.</w:t>
            </w:r>
          </w:p>
        </w:tc>
      </w:tr>
      <w:tr>
        <w:tc>
          <w:tcPr>
            <w:tcW w:type="dxa" w:w="2880"/>
            <w:shd w:val="clear" w:color="auto" w:fill="F2F5F8"/>
          </w:tcPr>
          <w:p>
            <w:pPr>
              <w:spacing w:after="20" w:before="20"/>
            </w:pPr>
            <w:r/>
            <w:r>
              <w:rPr>
                <w:rFonts w:ascii="Calibri" w:hAnsi="Calibri"/>
                <w:b/>
                <w:sz w:val="19"/>
              </w:rPr>
              <w:t>Australian net cash (A$159.1m)</w:t>
            </w:r>
          </w:p>
        </w:tc>
        <w:tc>
          <w:tcPr>
            <w:tcW w:type="dxa" w:w="1440"/>
            <w:shd w:val="clear" w:color="auto" w:fill="F2F5F8"/>
          </w:tcPr>
          <w:p>
            <w:pPr>
              <w:spacing w:after="20" w:before="20"/>
              <w:jc w:val="center"/>
            </w:pPr>
            <w:r/>
            <w:r>
              <w:rPr>
                <w:rFonts w:ascii="Calibri" w:hAnsi="Calibri"/>
                <w:b w:val="0"/>
                <w:sz w:val="19"/>
              </w:rPr>
              <w:t>Positive</w:t>
            </w:r>
          </w:p>
        </w:tc>
        <w:tc>
          <w:tcPr>
            <w:tcW w:type="dxa" w:w="5760"/>
            <w:shd w:val="clear" w:color="auto" w:fill="F2F5F8"/>
          </w:tcPr>
          <w:p>
            <w:pPr>
              <w:spacing w:after="20" w:before="20"/>
            </w:pPr>
            <w:r/>
            <w:r>
              <w:rPr>
                <w:rFonts w:ascii="Calibri" w:hAnsi="Calibri"/>
                <w:b w:val="0"/>
                <w:sz w:val="19"/>
              </w:rPr>
              <w:t>Worth ~10–15% more in ZAR terms; flatters group balance sheet &amp; net-debt optics.</w:t>
            </w:r>
          </w:p>
        </w:tc>
      </w:tr>
      <w:tr>
        <w:tc>
          <w:tcPr>
            <w:tcW w:type="dxa" w:w="2880"/>
          </w:tcPr>
          <w:p>
            <w:pPr>
              <w:spacing w:after="20" w:before="20"/>
            </w:pPr>
            <w:r/>
            <w:r>
              <w:rPr>
                <w:rFonts w:ascii="Calibri" w:hAnsi="Calibri"/>
                <w:b/>
                <w:sz w:val="19"/>
              </w:rPr>
              <w:t>Debt servicing</w:t>
            </w:r>
          </w:p>
        </w:tc>
        <w:tc>
          <w:tcPr>
            <w:tcW w:type="dxa" w:w="1440"/>
          </w:tcPr>
          <w:p>
            <w:pPr>
              <w:spacing w:after="20" w:before="20"/>
              <w:jc w:val="center"/>
            </w:pPr>
            <w:r/>
            <w:r>
              <w:rPr>
                <w:rFonts w:ascii="Calibri" w:hAnsi="Calibri"/>
                <w:b w:val="0"/>
                <w:sz w:val="19"/>
              </w:rPr>
              <w:t>Neutral</w:t>
            </w:r>
          </w:p>
        </w:tc>
        <w:tc>
          <w:tcPr>
            <w:tcW w:type="dxa" w:w="5760"/>
          </w:tcPr>
          <w:p>
            <w:pPr>
              <w:spacing w:after="20" w:before="20"/>
            </w:pPr>
            <w:r/>
            <w:r>
              <w:rPr>
                <w:rFonts w:ascii="Calibri" w:hAnsi="Calibri"/>
                <w:b w:val="0"/>
                <w:sz w:val="19"/>
              </w:rPr>
              <w:t>Funding is predominantly ZAR (DMTN); Australian subs are net cash. Limited direct USD debt exposure.</w:t>
            </w:r>
          </w:p>
        </w:tc>
      </w:tr>
      <w:tr>
        <w:tc>
          <w:tcPr>
            <w:tcW w:type="dxa" w:w="2880"/>
            <w:shd w:val="clear" w:color="auto" w:fill="F2F5F8"/>
          </w:tcPr>
          <w:p>
            <w:pPr>
              <w:spacing w:after="20" w:before="20"/>
            </w:pPr>
            <w:r/>
            <w:r>
              <w:rPr>
                <w:rFonts w:ascii="Calibri" w:hAnsi="Calibri"/>
                <w:b/>
                <w:sz w:val="19"/>
              </w:rPr>
              <w:t>Second-order: SA inflation/rates</w:t>
            </w:r>
          </w:p>
        </w:tc>
        <w:tc>
          <w:tcPr>
            <w:tcW w:type="dxa" w:w="1440"/>
            <w:shd w:val="clear" w:color="auto" w:fill="F2F5F8"/>
          </w:tcPr>
          <w:p>
            <w:pPr>
              <w:spacing w:after="20" w:before="20"/>
              <w:jc w:val="center"/>
            </w:pPr>
            <w:r/>
            <w:r>
              <w:rPr>
                <w:rFonts w:ascii="Calibri" w:hAnsi="Calibri"/>
                <w:b w:val="0"/>
                <w:sz w:val="19"/>
              </w:rPr>
              <w:t>Negative</w:t>
            </w:r>
          </w:p>
        </w:tc>
        <w:tc>
          <w:tcPr>
            <w:tcW w:type="dxa" w:w="5760"/>
            <w:shd w:val="clear" w:color="auto" w:fill="F2F5F8"/>
          </w:tcPr>
          <w:p>
            <w:pPr>
              <w:spacing w:after="20" w:before="20"/>
            </w:pPr>
            <w:r/>
            <w:r>
              <w:rPr>
                <w:rFonts w:ascii="Calibri" w:hAnsi="Calibri"/>
                <w:b w:val="0"/>
                <w:sz w:val="19"/>
              </w:rPr>
              <w:t>Imported inflation could slow SARB cuts → squeezes discretionary FBH demand. This indirect demand channel is the more material risk given ~85% of sales are SA.</w:t>
            </w:r>
          </w:p>
        </w:tc>
      </w:tr>
    </w:tbl>
    <w:p>
      <w:pPr>
        <w:spacing w:before="160" w:after="40"/>
      </w:pPr>
      <w:r>
        <w:rPr>
          <w:b/>
          <w:color w:val="2E75B6"/>
          <w:sz w:val="22"/>
        </w:rPr>
        <w:t>Illustrative earnings sensitivity (e) — directional only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349"/>
          </w:tcPr>
          <w:p>
            <w:pPr>
              <w:spacing w:after="20" w:before="20"/>
            </w:pPr>
            <w:r/>
            <w:r>
              <w:rPr>
                <w:rFonts w:ascii="Calibri" w:hAnsi="Calibri"/>
                <w:b/>
                <w:color w:val="FFFFFF"/>
                <w:sz w:val="19"/>
              </w:rPr>
              <w:t>Scenario</w:t>
            </w:r>
          </w:p>
        </w:tc>
        <w:tc>
          <w:tcPr>
            <w:tcW w:type="dxa" w:w="3168"/>
            <w:shd w:val="clear" w:color="auto" w:fill="1F3349"/>
          </w:tcPr>
          <w:p>
            <w:pPr>
              <w:spacing w:after="20" w:before="20"/>
            </w:pPr>
            <w:r/>
            <w:r>
              <w:rPr>
                <w:rFonts w:ascii="Calibri" w:hAnsi="Calibri"/>
                <w:b/>
                <w:color w:val="FFFFFF"/>
                <w:sz w:val="19"/>
              </w:rPr>
              <w:t>Transactional impact</w:t>
            </w:r>
          </w:p>
        </w:tc>
        <w:tc>
          <w:tcPr>
            <w:tcW w:type="dxa" w:w="2592"/>
            <w:shd w:val="clear" w:color="auto" w:fill="1F3349"/>
          </w:tcPr>
          <w:p>
            <w:pPr>
              <w:spacing w:after="20" w:before="20"/>
            </w:pPr>
            <w:r/>
            <w:r>
              <w:rPr>
                <w:rFonts w:ascii="Calibri" w:hAnsi="Calibri"/>
                <w:b/>
                <w:color w:val="FFFFFF"/>
                <w:sz w:val="19"/>
              </w:rPr>
              <w:t>Translation offset</w:t>
            </w:r>
          </w:p>
        </w:tc>
        <w:tc>
          <w:tcPr>
            <w:tcW w:type="dxa" w:w="2160"/>
            <w:shd w:val="clear" w:color="auto" w:fill="1F3349"/>
          </w:tcPr>
          <w:p>
            <w:pPr>
              <w:spacing w:after="20" w:before="20"/>
            </w:pPr>
            <w:r/>
            <w:r>
              <w:rPr>
                <w:rFonts w:ascii="Calibri" w:hAnsi="Calibri"/>
                <w:b/>
                <w:color w:val="FFFFFF"/>
                <w:sz w:val="19"/>
              </w:rPr>
              <w:t>Net group HEPS effect (e)</w:t>
            </w:r>
          </w:p>
        </w:tc>
      </w:tr>
      <w:tr>
        <w:tc>
          <w:tcPr>
            <w:tcW w:type="dxa" w:w="2160"/>
          </w:tcPr>
          <w:p>
            <w:pPr>
              <w:spacing w:after="20" w:before="20"/>
            </w:pPr>
            <w:r/>
            <w:r>
              <w:rPr>
                <w:rFonts w:ascii="Calibri" w:hAnsi="Calibri"/>
                <w:b/>
                <w:sz w:val="19"/>
              </w:rPr>
              <w:t>ZAR/USD -10%</w:t>
            </w:r>
          </w:p>
        </w:tc>
        <w:tc>
          <w:tcPr>
            <w:tcW w:type="dxa" w:w="3168"/>
          </w:tcPr>
          <w:p>
            <w:pPr>
              <w:spacing w:after="20" w:before="20"/>
            </w:pPr>
            <w:r/>
            <w:r>
              <w:rPr>
                <w:rFonts w:ascii="Calibri" w:hAnsi="Calibri"/>
                <w:b w:val="0"/>
                <w:sz w:val="19"/>
              </w:rPr>
              <w:t>FBH/Food import cost push</w:t>
            </w:r>
          </w:p>
        </w:tc>
        <w:tc>
          <w:tcPr>
            <w:tcW w:type="dxa" w:w="2592"/>
          </w:tcPr>
          <w:p>
            <w:pPr>
              <w:spacing w:after="20" w:before="20"/>
            </w:pPr>
            <w:r/>
            <w:r>
              <w:rPr>
                <w:rFonts w:ascii="Calibri" w:hAnsi="Calibri"/>
                <w:b w:val="0"/>
                <w:sz w:val="19"/>
              </w:rPr>
              <w:t>CRG AUD + AU cash uplift</w:t>
            </w:r>
          </w:p>
        </w:tc>
        <w:tc>
          <w:tcPr>
            <w:tcW w:type="dxa" w:w="2160"/>
          </w:tcPr>
          <w:p>
            <w:pPr>
              <w:spacing w:after="20" w:before="20"/>
            </w:pPr>
            <w:r/>
            <w:r>
              <w:rPr>
                <w:rFonts w:ascii="Calibri" w:hAnsi="Calibri"/>
                <w:b w:val="0"/>
                <w:sz w:val="19"/>
              </w:rPr>
              <w:t>Modestly negative (low single-digit % drag, lagged)</w:t>
            </w:r>
          </w:p>
        </w:tc>
      </w:tr>
      <w:tr>
        <w:tc>
          <w:tcPr>
            <w:tcW w:type="dxa" w:w="2160"/>
            <w:shd w:val="clear" w:color="auto" w:fill="F2F5F8"/>
          </w:tcPr>
          <w:p>
            <w:pPr>
              <w:spacing w:after="20" w:before="20"/>
            </w:pPr>
            <w:r/>
            <w:r>
              <w:rPr>
                <w:rFonts w:ascii="Calibri" w:hAnsi="Calibri"/>
                <w:b/>
                <w:sz w:val="19"/>
              </w:rPr>
              <w:t>ZAR/USD -15%</w:t>
            </w:r>
          </w:p>
        </w:tc>
        <w:tc>
          <w:tcPr>
            <w:tcW w:type="dxa" w:w="3168"/>
            <w:shd w:val="clear" w:color="auto" w:fill="F2F5F8"/>
          </w:tcPr>
          <w:p>
            <w:pPr>
              <w:spacing w:after="20" w:before="20"/>
            </w:pPr>
            <w:r/>
            <w:r>
              <w:rPr>
                <w:rFonts w:ascii="Calibri" w:hAnsi="Calibri"/>
                <w:b w:val="0"/>
                <w:sz w:val="19"/>
              </w:rPr>
              <w:t>Larger cost push, more clearance risk</w:t>
            </w:r>
          </w:p>
        </w:tc>
        <w:tc>
          <w:tcPr>
            <w:tcW w:type="dxa" w:w="2592"/>
            <w:shd w:val="clear" w:color="auto" w:fill="F2F5F8"/>
          </w:tcPr>
          <w:p>
            <w:pPr>
              <w:spacing w:after="20" w:before="20"/>
            </w:pPr>
            <w:r/>
            <w:r>
              <w:rPr>
                <w:rFonts w:ascii="Calibri" w:hAnsi="Calibri"/>
                <w:b w:val="0"/>
                <w:sz w:val="19"/>
              </w:rPr>
              <w:t>Larger translation benefit</w:t>
            </w:r>
          </w:p>
        </w:tc>
        <w:tc>
          <w:tcPr>
            <w:tcW w:type="dxa" w:w="2160"/>
            <w:shd w:val="clear" w:color="auto" w:fill="F2F5F8"/>
          </w:tcPr>
          <w:p>
            <w:pPr>
              <w:spacing w:after="20" w:before="20"/>
            </w:pPr>
            <w:r/>
            <w:r>
              <w:rPr>
                <w:rFonts w:ascii="Calibri" w:hAnsi="Calibri"/>
                <w:b w:val="0"/>
                <w:sz w:val="19"/>
              </w:rPr>
              <w:t>Negative but contained; Food insulation + CRG offset cushion</w:t>
            </w:r>
          </w:p>
        </w:tc>
      </w:tr>
    </w:tbl>
    <w:p>
      <w:pPr>
        <w:spacing w:after="120" w:line="259" w:lineRule="auto"/>
      </w:pPr>
      <w:r>
        <w:rPr>
          <w:sz w:val="19"/>
        </w:rPr>
        <w:t>Important caveat: WHL does not disclose precise import content by category or its forward-cover ratios, so the figures above are directional estimates (e), not a calibrated model. To quantify properly we would need: (i) % of FBH/Food COGS that is USD-denominated; (ii) hedge tenor and cover ratio; and (iii) management’s assumed pass-through to retail price. Recommend sourcing these from the FY2025 annual report risk/treasury notes before sizing the P&amp;L impact. Historically (FY2025), a weak AUD “inflated input costs” and cut CRG GP margin 390bps — a live illustration of the transactional channel.</w:t>
      </w:r>
    </w:p>
    <w:p>
      <w:pPr>
        <w:spacing w:before="240" w:after="80"/>
        <w:pBdr>
          <w:bottom w:val="single" w:sz="6" w:space="2" w:color="2E75B6"/>
        </w:pBdr>
      </w:pPr>
      <w:r>
        <w:rPr>
          <w:rFonts w:ascii="Calibri" w:hAnsi="Calibri"/>
          <w:b/>
          <w:color w:val="1F3349"/>
          <w:sz w:val="28"/>
        </w:rPr>
        <w:t>7.  Questions for Management</w:t>
      </w:r>
    </w:p>
    <w:p>
      <w:pPr>
        <w:pStyle w:val="ListBullet"/>
        <w:spacing w:after="60"/>
      </w:pPr>
      <w:r>
        <w:rPr>
          <w:sz w:val="21"/>
        </w:rPr>
        <w:t>FBH gross margin: what is the expected timeline to recover the ~50bps lost to price investment and clearance, and at what point does the Midrand DC depreciation drag roll off?</w:t>
      </w:r>
    </w:p>
    <w:p>
      <w:pPr>
        <w:pStyle w:val="ListBullet"/>
        <w:spacing w:after="60"/>
      </w:pPr>
      <w:r>
        <w:rPr>
          <w:sz w:val="21"/>
        </w:rPr>
        <w:t>CRG: how durable is the turnaround given the RBA hike and Australian discounting — and what ROCE/margin hurdle would trigger a strategic review of the AUD-exposed business?</w:t>
      </w:r>
    </w:p>
    <w:p>
      <w:pPr>
        <w:pStyle w:val="ListBullet"/>
        <w:spacing w:after="60"/>
      </w:pPr>
      <w:r>
        <w:rPr>
          <w:sz w:val="21"/>
        </w:rPr>
        <w:t>FX: what proportion of FBH and Food COGS is USD-denominated, and what is current forward-cover tenor and pass-through assumption under a 10–15% ZAR/USD move?</w:t>
      </w:r>
    </w:p>
    <w:p>
      <w:pPr>
        <w:pStyle w:val="ListBullet"/>
        <w:spacing w:after="60"/>
      </w:pPr>
      <w:r>
        <w:rPr>
          <w:sz w:val="21"/>
        </w:rPr>
        <w:t>Capital allocation: with net debt/EBITDA at 1.48x and a buyback running, what is the priority order between buyback, CRG investment, and Ventures M&amp;A?</w:t>
      </w:r>
    </w:p>
    <w:p>
      <w:pPr>
        <w:pStyle w:val="ListBullet"/>
        <w:spacing w:after="60"/>
      </w:pPr>
      <w:r>
        <w:rPr>
          <w:sz w:val="21"/>
        </w:rPr>
        <w:t>Remuneration: following the 37.6% AGM dissent, what concrete changes (beyond the ROCE/ESG re-weighting) are planned for FY2026 pay?</w:t>
      </w:r>
    </w:p>
    <w:p>
      <w:pPr>
        <w:spacing w:before="240" w:after="80"/>
        <w:pBdr>
          <w:bottom w:val="single" w:sz="6" w:space="2" w:color="2E75B6"/>
        </w:pBdr>
      </w:pPr>
      <w:r>
        <w:rPr>
          <w:rFonts w:ascii="Calibri" w:hAnsi="Calibri"/>
          <w:b/>
          <w:color w:val="1F3349"/>
          <w:sz w:val="24"/>
        </w:rPr>
        <w:t>Sources</w:t>
      </w:r>
    </w:p>
    <w:p>
      <w:pPr>
        <w:spacing w:after="40"/>
      </w:pPr>
      <w:r>
        <w:rPr>
          <w:color w:val="555555"/>
          <w:sz w:val="17"/>
        </w:rPr>
        <w:t>•  WHL H1 FY2026 interim short-form announcement (SENS), 3 March 2026 — woolworthsholdings.co.za/.../whlfy26.pdf</w:t>
      </w:r>
    </w:p>
    <w:p>
      <w:pPr>
        <w:spacing w:after="40"/>
      </w:pPr>
      <w:r>
        <w:rPr>
          <w:color w:val="555555"/>
          <w:sz w:val="17"/>
        </w:rPr>
        <w:t>•  WHL FY2025 annual results media release, 3 September 2025 — woolworthsholdings.co.za</w:t>
      </w:r>
    </w:p>
    <w:p>
      <w:pPr>
        <w:spacing w:after="40"/>
      </w:pPr>
      <w:r>
        <w:rPr>
          <w:color w:val="555555"/>
          <w:sz w:val="17"/>
        </w:rPr>
        <w:t>•  WHL FY2025 Annual Financial Statements — .../whlfy25.pdf</w:t>
      </w:r>
    </w:p>
    <w:p>
      <w:pPr>
        <w:spacing w:after="40"/>
      </w:pPr>
      <w:r>
        <w:rPr>
          <w:color w:val="555555"/>
          <w:sz w:val="17"/>
        </w:rPr>
        <w:t>•  WHL FY2025 Remuneration Report — .../Remuneration_Report_2025.pdf</w:t>
      </w:r>
    </w:p>
    <w:p>
      <w:pPr>
        <w:spacing w:after="40"/>
      </w:pPr>
      <w:r>
        <w:rPr>
          <w:color w:val="555555"/>
          <w:sz w:val="17"/>
        </w:rPr>
        <w:t>•  News24, “Woolworths shareholders push back on exec paydays,” 18 Nov 2025</w:t>
      </w:r>
    </w:p>
    <w:p>
      <w:pPr>
        <w:spacing w:after="40"/>
      </w:pPr>
      <w:r>
        <w:rPr>
          <w:color w:val="555555"/>
          <w:sz w:val="17"/>
        </w:rPr>
        <w:t>•  TradingView / Simply Wall St — WHL analyst consensus &amp; price target (accessed Jun 2026)</w:t>
      </w:r>
    </w:p>
    <w:p>
      <w:pPr>
        <w:spacing w:after="40"/>
      </w:pPr>
      <w:r>
        <w:rPr>
          <w:color w:val="555555"/>
          <w:sz w:val="17"/>
        </w:rPr>
        <w:t>•  Daily Investor / CNBC Africa — WHL FY2025 &amp; CRG commentary</w:t>
      </w:r>
    </w:p>
    <w:p>
      <w:pPr>
        <w:spacing w:before="200"/>
      </w:pPr>
      <w:r>
        <w:rPr>
          <w:i/>
          <w:color w:val="555555"/>
          <w:sz w:val="16"/>
        </w:rPr>
        <w:t>For informational purposes only — not investment advice. Prepared by internal research from public disclosures. Figures sourced to company reports; items marked (e) are estimates/derivations. Share prices obtained via search may be delayed (no live JSE feed). Verify all figures against primary documents before use in investment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