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F3864"/>
          <w:sz w:val="32"/>
          <w:szCs w:val="32"/>
        </w:rPr>
        <w:t xml:space="preserve">SHOPRITE  vs  THE SPAR GROUP</w:t>
      </w:r>
    </w:p>
    <w:p>
      <w:pPr>
        <w:spacing w:after="40"/>
      </w:pPr>
      <w:r>
        <w:rPr>
          <w:rFonts w:ascii="Arial" w:cs="Arial" w:eastAsia="Arial" w:hAnsi="Arial"/>
          <w:color w:val="595959"/>
          <w:sz w:val="20"/>
          <w:szCs w:val="20"/>
        </w:rPr>
        <w:t xml:space="preserve">JSE: SHP  vs  JSE: SPP   •   Food retail   •   Both report in ZAR</w:t>
      </w:r>
    </w:p>
    <w:p>
      <w:pPr>
        <w:spacing w:after="60"/>
      </w:pPr>
      <w:r>
        <w:rPr>
          <w:rFonts w:ascii="Arial" w:cs="Arial" w:eastAsia="Arial" w:hAnsi="Arial"/>
          <w:b/>
          <w:bCs/>
          <w:sz w:val="26"/>
          <w:szCs w:val="26"/>
        </w:rPr>
        <w:t xml:space="preserve">The Strait of Hormuz: 12–18 Month Outlook &amp; Relative Resilience</w:t>
      </w:r>
    </w:p>
    <w:p>
      <w:pPr>
        <w:pBdr>
          <w:bottom w:val="single" w:color="2E5496" w:sz="6" w:space="1"/>
        </w:pBdr>
        <w:spacing w:after="200"/>
      </w:pPr>
      <w:r>
        <w:rPr>
          <w:rFonts w:ascii="Arial" w:cs="Arial" w:eastAsia="Arial" w:hAnsi="Arial"/>
          <w:i/>
          <w:iCs/>
          <w:color w:val="595959"/>
          <w:sz w:val="18"/>
          <w:szCs w:val="18"/>
        </w:rPr>
        <w:t xml:space="preserve">Investment Committee briefing  •  17 June 2026  •  Internal research, for information only</w:t>
      </w:r>
    </w:p>
    <w:p>
      <w:pPr>
        <w:pStyle w:val="Heading1"/>
        <w:spacing w:after="120" w:before="240"/>
      </w:pPr>
      <w:r>
        <w:rPr>
          <w:rFonts w:ascii="Arial" w:cs="Arial" w:eastAsia="Arial" w:hAnsi="Arial"/>
        </w:rPr>
        <w:t xml:space="preserve">1.  The answer, up front</w:t>
      </w:r>
    </w:p>
    <w:p>
      <w:pPr>
        <w:spacing w:after="120" w:before="0" w:line="264"/>
      </w:pPr>
      <w:r>
        <w:rPr>
          <w:rFonts w:ascii="Arial" w:cs="Arial" w:eastAsia="Arial" w:hAnsi="Arial"/>
          <w:sz w:val="21"/>
          <w:szCs w:val="21"/>
        </w:rPr>
        <w:t xml:space="preserve">Yes — Shoprite is clearly better positioned than The SPAR Group to weather financial uncertainty, and the gap holds in both scenarios. Neither is an oil stock: the Strait of Hormuz reaches each one indirectly, through the South African consumer's wallet (pump prices, food inflation, interest rates, the rand) and through each group's own diesel/distribution cost. But the two enter this from opposite ends. Shoprite is a net-cash, margin-expanding compounder that grew continuing HEPS +15.8% in FY2025; SPAR is a geared, mid-turnaround business whose continuing HEPS just fell 55.5% at the half year, with no dividend for a second straight year.</w:t>
      </w:r>
    </w:p>
    <w:p>
      <w:pPr>
        <w:spacing w:after="120" w:before="0" w:line="264"/>
      </w:pPr>
      <w:r>
        <w:rPr>
          <w:rFonts w:ascii="Arial" w:cs="Arial" w:eastAsia="Arial" w:hAnsi="Arial"/>
          <w:b/>
          <w:bCs/>
          <w:sz w:val="21"/>
          <w:szCs w:val="21"/>
        </w:rPr>
        <w:t xml:space="preserve">Scenario A (Strait stays open). </w:t>
      </w:r>
      <w:r>
        <w:rPr>
          <w:rFonts w:ascii="Arial" w:cs="Arial" w:eastAsia="Arial" w:hAnsi="Arial"/>
          <w:sz w:val="21"/>
          <w:szCs w:val="21"/>
        </w:rPr>
        <w:t xml:space="preserve">Both improve as Brent normalises toward $70–80, fuel eases, food inflation stays low and the SARB resumes cutting. Shoprite is a steady compounder that may modestly lag a cyclical relief rally. SPAR — distressed and geared — actually has the higher upside torque, because falling rates accelerate its de-gearing and a consumer recovery helps its retailers; but that recovery is gated on self-help (fixing the KZN distribution centre, the SAP rollout, cost realignment, retailer loyalty), not on the macro alone. It is a higher-risk recovery bet, not resilience.</w:t>
      </w:r>
    </w:p>
    <w:p>
      <w:pPr>
        <w:spacing w:after="120" w:before="0" w:line="264"/>
      </w:pPr>
      <w:r>
        <w:rPr>
          <w:rFonts w:ascii="Arial" w:cs="Arial" w:eastAsia="Arial" w:hAnsi="Arial"/>
          <w:b/>
          <w:bCs/>
          <w:sz w:val="21"/>
          <w:szCs w:val="21"/>
        </w:rPr>
        <w:t xml:space="preserve">Scenario B (Strait closes and stays shut). </w:t>
      </w:r>
      <w:r>
        <w:rPr>
          <w:rFonts w:ascii="Arial" w:cs="Arial" w:eastAsia="Arial" w:hAnsi="Arial"/>
          <w:sz w:val="21"/>
          <w:szCs w:val="21"/>
        </w:rPr>
        <w:t xml:space="preserve">This is where the two diverge most. Shoprite is a defensive outperformer: food is non-discretionary, it is the mass-market value leader and prime trade-down beneficiary, and a net-cash balance sheet lets it keep cutting prices while weaker rivals retrench. For SPAR the same oil shock stacks on top of an existing crisis — higher rates stall de-gearing and lift its legacy ZAR-debt drag; fuel hits a distribution-heavy cost base and the wounded KZN DC; a squeezed consumer drives trade-down out of its independents and raises retailer-solvency and debtor risk; and the dividend stays nil. SPAR is the more fragile balance sheet meeting the harder macro.</w:t>
      </w:r>
    </w:p>
    <w:p>
      <w:pPr>
        <w:spacing w:after="120" w:before="0" w:line="264"/>
      </w:pPr>
      <w:r>
        <w:rPr>
          <w:rFonts w:ascii="Arial" w:cs="Arial" w:eastAsia="Arial" w:hAnsi="Arial"/>
          <w:b/>
          <w:bCs/>
          <w:sz w:val="21"/>
          <w:szCs w:val="21"/>
        </w:rPr>
        <w:t xml:space="preserve">Punchline. </w:t>
      </w:r>
      <w:r>
        <w:rPr>
          <w:rFonts w:ascii="Arial" w:cs="Arial" w:eastAsia="Arial" w:hAnsi="Arial"/>
          <w:sz w:val="21"/>
          <w:szCs w:val="21"/>
        </w:rPr>
        <w:t xml:space="preserve">Own Shoprite for resilience. SPAR is best understood as a leveraged recovery option that needs both the macro (Scenario A) and its own execution to go right — the opposite of a safe harbour in uncertainty.</w:t>
      </w:r>
    </w:p>
    <w:p>
      <w:pPr>
        <w:pStyle w:val="Heading1"/>
        <w:spacing w:after="120" w:before="240"/>
      </w:pPr>
      <w:r>
        <w:rPr>
          <w:rFonts w:ascii="Arial" w:cs="Arial" w:eastAsia="Arial" w:hAnsi="Arial"/>
        </w:rPr>
        <w:t xml:space="preserve">2.  The two businesses today</w:t>
      </w:r>
    </w:p>
    <w:p>
      <w:pPr>
        <w:spacing w:after="120" w:before="0" w:line="264"/>
      </w:pPr>
      <w:r>
        <w:rPr>
          <w:rFonts w:ascii="Arial" w:cs="Arial" w:eastAsia="Arial" w:hAnsi="Arial"/>
          <w:sz w:val="21"/>
          <w:szCs w:val="21"/>
        </w:rPr>
        <w:t xml:space="preserve">All figures are reported actuals on a continuing-operations basis (SHP reviewed, FY2024 restated for IFRS 5; SPP FY2025 audited). H1 FY2026 HEPS are actual prints.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60"/>
        <w:gridCol w:w="3050"/>
        <w:gridCol w:w="3050"/>
      </w:tblGrid>
      <w:tr>
        <w:trPr>
          <w:tblHeader/>
        </w:trPr>
        <w:tc>
          <w:tcPr>
            <w:tcW w:type="dxa" w:w="326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tcPr>
          <w:p>
            <w:pPr>
              <w:spacing w:after="0" w:line="248"/>
            </w:pPr>
            <w:r>
              <w:rPr>
                <w:rFonts w:ascii="Arial" w:cs="Arial" w:eastAsia="Arial" w:hAnsi="Arial"/>
                <w:b/>
                <w:bCs/>
                <w:color w:val="FFFFFF"/>
                <w:sz w:val="19"/>
                <w:szCs w:val="19"/>
              </w:rPr>
              <w:t xml:space="preserve">Metric (FY2025, continuing)</w:t>
            </w:r>
          </w:p>
        </w:tc>
        <w:tc>
          <w:tcPr>
            <w:tcW w:type="dxa" w:w="3050"/>
            <w:tcBorders>
              <w:top w:val="single" w:color="CCCCCC" w:sz="1"/>
              <w:left w:val="single" w:color="CCCCCC" w:sz="1"/>
              <w:bottom w:val="single" w:color="CCCCCC" w:sz="1"/>
              <w:right w:val="single" w:color="CCCCCC" w:sz="1"/>
            </w:tcBorders>
            <w:shd w:fill="2E5496" w:val="clear"/>
            <w:tcMar>
              <w:top w:type="dxa" w:w="60"/>
              <w:left w:type="dxa" w:w="110"/>
              <w:bottom w:type="dxa" w:w="60"/>
              <w:right w:type="dxa" w:w="110"/>
            </w:tcMar>
          </w:tcPr>
          <w:p>
            <w:pPr>
              <w:spacing w:after="0" w:line="248"/>
              <w:jc w:val="center"/>
            </w:pPr>
            <w:r>
              <w:rPr>
                <w:rFonts w:ascii="Arial" w:cs="Arial" w:eastAsia="Arial" w:hAnsi="Arial"/>
                <w:b/>
                <w:bCs/>
                <w:color w:val="FFFFFF"/>
                <w:sz w:val="19"/>
                <w:szCs w:val="19"/>
              </w:rPr>
              <w:t xml:space="preserve">Shoprite (SHP)</w:t>
            </w:r>
          </w:p>
        </w:tc>
        <w:tc>
          <w:tcPr>
            <w:tcW w:type="dxa" w:w="3050"/>
            <w:tcBorders>
              <w:top w:val="single" w:color="CCCCCC" w:sz="1"/>
              <w:left w:val="single" w:color="CCCCCC" w:sz="1"/>
              <w:bottom w:val="single" w:color="CCCCCC" w:sz="1"/>
              <w:right w:val="single" w:color="CCCCCC" w:sz="1"/>
            </w:tcBorders>
            <w:shd w:fill="375623" w:val="clear"/>
            <w:tcMar>
              <w:top w:type="dxa" w:w="60"/>
              <w:left w:type="dxa" w:w="110"/>
              <w:bottom w:type="dxa" w:w="60"/>
              <w:right w:type="dxa" w:w="110"/>
            </w:tcMar>
          </w:tcPr>
          <w:p>
            <w:pPr>
              <w:spacing w:after="0" w:line="248"/>
              <w:jc w:val="center"/>
            </w:pPr>
            <w:r>
              <w:rPr>
                <w:rFonts w:ascii="Arial" w:cs="Arial" w:eastAsia="Arial" w:hAnsi="Arial"/>
                <w:b/>
                <w:bCs/>
                <w:color w:val="FFFFFF"/>
                <w:sz w:val="19"/>
                <w:szCs w:val="19"/>
              </w:rPr>
              <w:t xml:space="preserve">The SPAR Group (SPP)</w:t>
            </w:r>
          </w:p>
        </w:tc>
      </w:tr>
      <w:tr>
        <w:tc>
          <w:tcPr>
            <w:tcW w:type="dxa" w:w="326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spacing w:after="0" w:line="248"/>
            </w:pPr>
            <w:r>
              <w:rPr>
                <w:rFonts w:ascii="Arial" w:cs="Arial" w:eastAsia="Arial" w:hAnsi="Arial"/>
                <w:b/>
                <w:bCs/>
                <w:sz w:val="19"/>
                <w:szCs w:val="19"/>
              </w:rPr>
              <w:t xml:space="preserve">Revenue / turnover</w:t>
            </w:r>
          </w:p>
        </w:tc>
        <w:tc>
          <w:tcPr>
            <w:tcW w:type="dxa" w:w="305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8"/>
              <w:jc w:val="left"/>
            </w:pPr>
            <w:r>
              <w:rPr>
                <w:rFonts w:ascii="Arial" w:cs="Arial" w:eastAsia="Arial" w:hAnsi="Arial"/>
                <w:sz w:val="19"/>
                <w:szCs w:val="19"/>
              </w:rPr>
              <w:t xml:space="preserve">Sale of merch. R252.7bn (+8.9%)</w:t>
            </w:r>
          </w:p>
        </w:tc>
        <w:tc>
          <w:tcPr>
            <w:tcW w:type="dxa" w:w="305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8"/>
              <w:jc w:val="left"/>
            </w:pPr>
            <w:r>
              <w:rPr>
                <w:rFonts w:ascii="Arial" w:cs="Arial" w:eastAsia="Arial" w:hAnsi="Arial"/>
                <w:sz w:val="19"/>
                <w:szCs w:val="19"/>
              </w:rPr>
              <w:t xml:space="preserve">Turnover R132.4bn (+1.6%)</w:t>
            </w:r>
          </w:p>
        </w:tc>
      </w:tr>
      <w:tr>
        <w:tc>
          <w:tcPr>
            <w:tcW w:type="dxa" w:w="326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spacing w:after="0" w:line="248"/>
            </w:pPr>
            <w:r>
              <w:rPr>
                <w:rFonts w:ascii="Arial" w:cs="Arial" w:eastAsia="Arial" w:hAnsi="Arial"/>
                <w:b/>
                <w:bCs/>
                <w:sz w:val="19"/>
                <w:szCs w:val="19"/>
              </w:rPr>
              <w:t xml:space="preserve">Trading / operating margin</w:t>
            </w:r>
          </w:p>
        </w:tc>
        <w:tc>
          <w:tcPr>
            <w:tcW w:type="dxa" w:w="305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8"/>
              <w:jc w:val="left"/>
            </w:pPr>
            <w:r>
              <w:rPr>
                <w:rFonts w:ascii="Arial" w:cs="Arial" w:eastAsia="Arial" w:hAnsi="Arial"/>
                <w:sz w:val="19"/>
                <w:szCs w:val="19"/>
              </w:rPr>
              <w:t xml:space="preserve">5.9% (+40bps), expanding</w:t>
            </w:r>
          </w:p>
        </w:tc>
        <w:tc>
          <w:tcPr>
            <w:tcW w:type="dxa" w:w="305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8"/>
              <w:jc w:val="left"/>
            </w:pPr>
            <w:r>
              <w:rPr>
                <w:rFonts w:ascii="Arial" w:cs="Arial" w:eastAsia="Arial" w:hAnsi="Arial"/>
                <w:sz w:val="19"/>
                <w:szCs w:val="19"/>
              </w:rPr>
              <w:t xml:space="preserve">2.1% ex-extra (~flat); 1.1% at H1 FY26</w:t>
            </w:r>
          </w:p>
        </w:tc>
      </w:tr>
      <w:tr>
        <w:tc>
          <w:tcPr>
            <w:tcW w:type="dxa" w:w="326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spacing w:after="0" w:line="248"/>
            </w:pPr>
            <w:r>
              <w:rPr>
                <w:rFonts w:ascii="Arial" w:cs="Arial" w:eastAsia="Arial" w:hAnsi="Arial"/>
                <w:b/>
                <w:bCs/>
                <w:sz w:val="19"/>
                <w:szCs w:val="19"/>
              </w:rPr>
              <w:t xml:space="preserve">Continuing HEPS (diluted)</w:t>
            </w:r>
          </w:p>
        </w:tc>
        <w:tc>
          <w:tcPr>
            <w:tcW w:type="dxa" w:w="305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8"/>
              <w:jc w:val="left"/>
            </w:pPr>
            <w:r>
              <w:rPr>
                <w:rFonts w:ascii="Arial" w:cs="Arial" w:eastAsia="Arial" w:hAnsi="Arial"/>
                <w:sz w:val="19"/>
                <w:szCs w:val="19"/>
              </w:rPr>
              <w:t xml:space="preserve">1,367.2c (+15.8%)</w:t>
            </w:r>
          </w:p>
        </w:tc>
        <w:tc>
          <w:tcPr>
            <w:tcW w:type="dxa" w:w="305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8"/>
              <w:jc w:val="left"/>
            </w:pPr>
            <w:r>
              <w:rPr>
                <w:rFonts w:ascii="Arial" w:cs="Arial" w:eastAsia="Arial" w:hAnsi="Arial"/>
                <w:sz w:val="19"/>
                <w:szCs w:val="19"/>
              </w:rPr>
              <w:t xml:space="preserve">795.4c (−9.0%)</w:t>
            </w:r>
          </w:p>
        </w:tc>
      </w:tr>
      <w:tr>
        <w:tc>
          <w:tcPr>
            <w:tcW w:type="dxa" w:w="326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spacing w:after="0" w:line="248"/>
            </w:pPr>
            <w:r>
              <w:rPr>
                <w:rFonts w:ascii="Arial" w:cs="Arial" w:eastAsia="Arial" w:hAnsi="Arial"/>
                <w:b/>
                <w:bCs/>
                <w:sz w:val="19"/>
                <w:szCs w:val="19"/>
              </w:rPr>
              <w:t xml:space="preserve">H1 FY2026 HEPS (actual)</w:t>
            </w:r>
          </w:p>
        </w:tc>
        <w:tc>
          <w:tcPr>
            <w:tcW w:type="dxa" w:w="305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8"/>
              <w:jc w:val="left"/>
            </w:pPr>
            <w:r>
              <w:rPr>
                <w:rFonts w:ascii="Arial" w:cs="Arial" w:eastAsia="Arial" w:hAnsi="Arial"/>
                <w:sz w:val="19"/>
                <w:szCs w:val="19"/>
              </w:rPr>
              <w:t xml:space="preserve">708.9c (+7.9%)</w:t>
            </w:r>
          </w:p>
        </w:tc>
        <w:tc>
          <w:tcPr>
            <w:tcW w:type="dxa" w:w="305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8"/>
              <w:jc w:val="left"/>
            </w:pPr>
            <w:r>
              <w:rPr>
                <w:rFonts w:ascii="Arial" w:cs="Arial" w:eastAsia="Arial" w:hAnsi="Arial"/>
                <w:sz w:val="19"/>
                <w:szCs w:val="19"/>
              </w:rPr>
              <w:t xml:space="preserve">199.9c (−55.5%)</w:t>
            </w:r>
          </w:p>
        </w:tc>
      </w:tr>
      <w:tr>
        <w:tc>
          <w:tcPr>
            <w:tcW w:type="dxa" w:w="326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spacing w:after="0" w:line="248"/>
            </w:pPr>
            <w:r>
              <w:rPr>
                <w:rFonts w:ascii="Arial" w:cs="Arial" w:eastAsia="Arial" w:hAnsi="Arial"/>
                <w:b/>
                <w:bCs/>
                <w:sz w:val="19"/>
                <w:szCs w:val="19"/>
              </w:rPr>
              <w:t xml:space="preserve">Dividend (FY2025)</w:t>
            </w:r>
          </w:p>
        </w:tc>
        <w:tc>
          <w:tcPr>
            <w:tcW w:type="dxa" w:w="305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8"/>
              <w:jc w:val="left"/>
            </w:pPr>
            <w:r>
              <w:rPr>
                <w:rFonts w:ascii="Arial" w:cs="Arial" w:eastAsia="Arial" w:hAnsi="Arial"/>
                <w:sz w:val="19"/>
                <w:szCs w:val="19"/>
              </w:rPr>
              <w:t xml:space="preserve">781c (+9.7%), 1.75x cover</w:t>
            </w:r>
          </w:p>
        </w:tc>
        <w:tc>
          <w:tcPr>
            <w:tcW w:type="dxa" w:w="305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8"/>
              <w:jc w:val="left"/>
            </w:pPr>
            <w:r>
              <w:rPr>
                <w:rFonts w:ascii="Arial" w:cs="Arial" w:eastAsia="Arial" w:hAnsi="Arial"/>
                <w:sz w:val="19"/>
                <w:szCs w:val="19"/>
              </w:rPr>
              <w:t xml:space="preserve">Nil — 2nd consecutive year</w:t>
            </w:r>
          </w:p>
        </w:tc>
      </w:tr>
      <w:tr>
        <w:tc>
          <w:tcPr>
            <w:tcW w:type="dxa" w:w="326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spacing w:after="0" w:line="248"/>
            </w:pPr>
            <w:r>
              <w:rPr>
                <w:rFonts w:ascii="Arial" w:cs="Arial" w:eastAsia="Arial" w:hAnsi="Arial"/>
                <w:b/>
                <w:bCs/>
                <w:sz w:val="19"/>
                <w:szCs w:val="19"/>
              </w:rPr>
              <w:t xml:space="preserve">Balance sheet</w:t>
            </w:r>
          </w:p>
        </w:tc>
        <w:tc>
          <w:tcPr>
            <w:tcW w:type="dxa" w:w="305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8"/>
              <w:jc w:val="left"/>
            </w:pPr>
            <w:r>
              <w:rPr>
                <w:rFonts w:ascii="Arial" w:cs="Arial" w:eastAsia="Arial" w:hAnsi="Arial"/>
                <w:sz w:val="19"/>
                <w:szCs w:val="19"/>
              </w:rPr>
              <w:t xml:space="preserve">NET CASH R8.1bn (~US$7m USD debt)</w:t>
            </w:r>
          </w:p>
        </w:tc>
        <w:tc>
          <w:tcPr>
            <w:tcW w:type="dxa" w:w="305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8"/>
              <w:jc w:val="left"/>
            </w:pPr>
            <w:r>
              <w:rPr>
                <w:rFonts w:ascii="Arial" w:cs="Arial" w:eastAsia="Arial" w:hAnsi="Arial"/>
                <w:sz w:val="19"/>
                <w:szCs w:val="19"/>
              </w:rPr>
              <w:t xml:space="preserve">NET DEBT R5.4bn, 1.74x leverage</w:t>
            </w:r>
          </w:p>
        </w:tc>
      </w:tr>
      <w:tr>
        <w:tc>
          <w:tcPr>
            <w:tcW w:type="dxa" w:w="326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spacing w:after="0" w:line="248"/>
            </w:pPr>
            <w:r>
              <w:rPr>
                <w:rFonts w:ascii="Arial" w:cs="Arial" w:eastAsia="Arial" w:hAnsi="Arial"/>
                <w:b/>
                <w:bCs/>
                <w:sz w:val="19"/>
                <w:szCs w:val="19"/>
              </w:rPr>
              <w:t xml:space="preserve">Returns</w:t>
            </w:r>
          </w:p>
        </w:tc>
        <w:tc>
          <w:tcPr>
            <w:tcW w:type="dxa" w:w="305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8"/>
              <w:jc w:val="left"/>
            </w:pPr>
            <w:r>
              <w:rPr>
                <w:rFonts w:ascii="Arial" w:cs="Arial" w:eastAsia="Arial" w:hAnsi="Arial"/>
                <w:sz w:val="19"/>
                <w:szCs w:val="19"/>
              </w:rPr>
              <w:t xml:space="preserve">ROE 26.7% / ROIC 19.4%</w:t>
            </w:r>
          </w:p>
        </w:tc>
        <w:tc>
          <w:tcPr>
            <w:tcW w:type="dxa" w:w="305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8"/>
              <w:jc w:val="left"/>
            </w:pPr>
            <w:r>
              <w:rPr>
                <w:rFonts w:ascii="Arial" w:cs="Arial" w:eastAsia="Arial" w:hAnsi="Arial"/>
                <w:sz w:val="19"/>
                <w:szCs w:val="19"/>
              </w:rPr>
              <w:t xml:space="preserve">SA interest cover 4.50x</w:t>
            </w:r>
          </w:p>
        </w:tc>
      </w:tr>
      <w:tr>
        <w:tc>
          <w:tcPr>
            <w:tcW w:type="dxa" w:w="326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spacing w:after="0" w:line="248"/>
            </w:pPr>
            <w:r>
              <w:rPr>
                <w:rFonts w:ascii="Arial" w:cs="Arial" w:eastAsia="Arial" w:hAnsi="Arial"/>
                <w:b/>
                <w:bCs/>
                <w:sz w:val="19"/>
                <w:szCs w:val="19"/>
              </w:rPr>
              <w:t xml:space="preserve">Business model</w:t>
            </w:r>
          </w:p>
        </w:tc>
        <w:tc>
          <w:tcPr>
            <w:tcW w:type="dxa" w:w="305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8"/>
              <w:jc w:val="left"/>
            </w:pPr>
            <w:r>
              <w:rPr>
                <w:rFonts w:ascii="Arial" w:cs="Arial" w:eastAsia="Arial" w:hAnsi="Arial"/>
                <w:sz w:val="19"/>
                <w:szCs w:val="19"/>
              </w:rPr>
              <w:t xml:space="preserve">Owned stores; mass-market value leader</w:t>
            </w:r>
          </w:p>
        </w:tc>
        <w:tc>
          <w:tcPr>
            <w:tcW w:type="dxa" w:w="305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8"/>
              <w:jc w:val="left"/>
            </w:pPr>
            <w:r>
              <w:rPr>
                <w:rFonts w:ascii="Arial" w:cs="Arial" w:eastAsia="Arial" w:hAnsi="Arial"/>
                <w:sz w:val="19"/>
                <w:szCs w:val="19"/>
              </w:rPr>
              <w:t xml:space="preserve">Wholesaler to independent franchisees</w:t>
            </w:r>
          </w:p>
        </w:tc>
      </w:tr>
      <w:tr>
        <w:tc>
          <w:tcPr>
            <w:tcW w:type="dxa" w:w="326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spacing w:after="0" w:line="248"/>
            </w:pPr>
            <w:r>
              <w:rPr>
                <w:rFonts w:ascii="Arial" w:cs="Arial" w:eastAsia="Arial" w:hAnsi="Arial"/>
                <w:b/>
                <w:bCs/>
                <w:sz w:val="19"/>
                <w:szCs w:val="19"/>
              </w:rPr>
              <w:t xml:space="preserve">Share / valuation (mid-Jun 2026)</w:t>
            </w:r>
          </w:p>
        </w:tc>
        <w:tc>
          <w:tcPr>
            <w:tcW w:type="dxa" w:w="305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8"/>
              <w:jc w:val="left"/>
            </w:pPr>
            <w:r>
              <w:rPr>
                <w:rFonts w:ascii="Arial" w:cs="Arial" w:eastAsia="Arial" w:hAnsi="Arial"/>
                <w:sz w:val="19"/>
                <w:szCs w:val="19"/>
              </w:rPr>
              <w:t xml:space="preserve">~R295, P/E ~20.2x, yield 2.79%</w:t>
            </w:r>
          </w:p>
        </w:tc>
        <w:tc>
          <w:tcPr>
            <w:tcW w:type="dxa" w:w="305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8"/>
              <w:jc w:val="left"/>
            </w:pPr>
            <w:r>
              <w:rPr>
                <w:rFonts w:ascii="Arial" w:cs="Arial" w:eastAsia="Arial" w:hAnsi="Arial"/>
                <w:sz w:val="19"/>
                <w:szCs w:val="19"/>
              </w:rPr>
              <w:t xml:space="preserve">~R60–65, −30% over 90 days</w:t>
            </w:r>
          </w:p>
        </w:tc>
      </w:tr>
    </w:tbl>
    <w:p>
      <w:pPr>
        <w:spacing w:after="40" w:before="0" w:line="264"/>
      </w:pPr>
      <w:r>
        <w:rPr>
          <w:rFonts w:ascii="Arial" w:cs="Arial" w:eastAsia="Arial" w:hAnsi="Arial"/>
          <w:sz w:val="21"/>
          <w:szCs w:val="21"/>
        </w:rPr>
        <w:t xml:space="preserve"/>
      </w:r>
    </w:p>
    <w:p>
      <w:pPr>
        <w:spacing w:after="120" w:before="0" w:line="264"/>
      </w:pPr>
      <w:r>
        <w:rPr>
          <w:rFonts w:ascii="Arial" w:cs="Arial" w:eastAsia="Arial" w:hAnsi="Arial"/>
          <w:sz w:val="21"/>
          <w:szCs w:val="21"/>
        </w:rPr>
        <w:t xml:space="preserve">The contrast is structural, not cyclical. Shoprite owns its stores and sells mostly for cash; SPAR is a wholesaler that supplies independent franchisees and finances them on credit — so a consumer downturn hits SPAR twice, through softer volumes and through rising retailer-debtor risk. Shoprite carries net cash; SPAR carries net debt whose reduction is the centre of its equity story.</w:t>
      </w:r>
    </w:p>
    <w:p>
      <w:pPr>
        <w:pStyle w:val="Heading1"/>
        <w:spacing w:after="120" w:before="240"/>
      </w:pPr>
      <w:r>
        <w:rPr>
          <w:rFonts w:ascii="Arial" w:cs="Arial" w:eastAsia="Arial" w:hAnsi="Arial"/>
        </w:rPr>
        <w:t xml:space="preserve">3.  How the Strait reaches a grocery till</w:t>
      </w:r>
    </w:p>
    <w:p>
      <w:pPr>
        <w:spacing w:after="120" w:before="0" w:line="264"/>
      </w:pPr>
      <w:r>
        <w:rPr>
          <w:rFonts w:ascii="Arial" w:cs="Arial" w:eastAsia="Arial" w:hAnsi="Arial"/>
          <w:sz w:val="21"/>
          <w:szCs w:val="21"/>
        </w:rPr>
        <w:t xml:space="preserve">Five domestic channels carry the oil price into both retailers. The direction is the same for each; the magnitude differs because of model and balance sheet.</w:t>
      </w:r>
    </w:p>
    <w:p>
      <w:pPr>
        <w:pStyle w:val="ListParagraph"/>
        <w:numPr>
          <w:ilvl w:val="0"/>
          <w:numId w:val="2"/>
        </w:numPr>
        <w:spacing w:after="80" w:line="264"/>
      </w:pPr>
      <w:r>
        <w:rPr>
          <w:rFonts w:ascii="Arial" w:cs="Arial" w:eastAsia="Arial" w:hAnsi="Arial"/>
          <w:b/>
          <w:bCs/>
          <w:sz w:val="21"/>
          <w:szCs w:val="21"/>
        </w:rPr>
        <w:t xml:space="preserve">Consumer wallet — </w:t>
      </w:r>
      <w:r>
        <w:rPr>
          <w:rFonts w:ascii="Arial" w:cs="Arial" w:eastAsia="Arial" w:hAnsi="Arial"/>
          <w:sz w:val="21"/>
          <w:szCs w:val="21"/>
        </w:rPr>
        <w:t xml:space="preserve">higher pump prices cut discretionary income. This is the prime driver of trade-down into value grocery, which favours Shoprite/Usave and works against SPAR's mid-market independents.</w:t>
      </w:r>
    </w:p>
    <w:p>
      <w:pPr>
        <w:pStyle w:val="ListParagraph"/>
        <w:numPr>
          <w:ilvl w:val="0"/>
          <w:numId w:val="2"/>
        </w:numPr>
        <w:spacing w:after="80" w:line="264"/>
      </w:pPr>
      <w:r>
        <w:rPr>
          <w:rFonts w:ascii="Arial" w:cs="Arial" w:eastAsia="Arial" w:hAnsi="Arial"/>
          <w:b/>
          <w:bCs/>
          <w:sz w:val="21"/>
          <w:szCs w:val="21"/>
        </w:rPr>
        <w:t xml:space="preserve">Distribution / diesel — </w:t>
      </w:r>
      <w:r>
        <w:rPr>
          <w:rFonts w:ascii="Arial" w:cs="Arial" w:eastAsia="Arial" w:hAnsi="Arial"/>
          <w:sz w:val="21"/>
          <w:szCs w:val="21"/>
        </w:rPr>
        <w:t xml:space="preserve">a direct cost for both fleets. It is proportionally larger for SPAR, a wholesale-distribution business that explicitly flagged “rising fuel costs (logistics/distribution)” as an H2 FY2026 headwind, with its KZN distribution centre already underperforming. Shoprite's diesel bill was only R335m in FY2025.</w:t>
      </w:r>
    </w:p>
    <w:p>
      <w:pPr>
        <w:pStyle w:val="ListParagraph"/>
        <w:numPr>
          <w:ilvl w:val="0"/>
          <w:numId w:val="2"/>
        </w:numPr>
        <w:spacing w:after="80" w:line="264"/>
      </w:pPr>
      <w:r>
        <w:rPr>
          <w:rFonts w:ascii="Arial" w:cs="Arial" w:eastAsia="Arial" w:hAnsi="Arial"/>
          <w:b/>
          <w:bCs/>
          <w:sz w:val="21"/>
          <w:szCs w:val="21"/>
        </w:rPr>
        <w:t xml:space="preserve">Food / input inflation — </w:t>
      </w:r>
      <w:r>
        <w:rPr>
          <w:rFonts w:ascii="Arial" w:cs="Arial" w:eastAsia="Arial" w:hAnsi="Arial"/>
          <w:sz w:val="21"/>
          <w:szCs w:val="21"/>
        </w:rPr>
        <w:t xml:space="preserve">fuel feeds food-price inflation, supporting nominal sales but pressuring real volumes for both.</w:t>
      </w:r>
    </w:p>
    <w:p>
      <w:pPr>
        <w:pStyle w:val="ListParagraph"/>
        <w:numPr>
          <w:ilvl w:val="0"/>
          <w:numId w:val="2"/>
        </w:numPr>
        <w:spacing w:after="80" w:line="264"/>
      </w:pPr>
      <w:r>
        <w:rPr>
          <w:rFonts w:ascii="Arial" w:cs="Arial" w:eastAsia="Arial" w:hAnsi="Arial"/>
          <w:b/>
          <w:bCs/>
          <w:sz w:val="21"/>
          <w:szCs w:val="21"/>
        </w:rPr>
        <w:t xml:space="preserve">Rand / imports — </w:t>
      </w:r>
      <w:r>
        <w:rPr>
          <w:rFonts w:ascii="Arial" w:cs="Arial" w:eastAsia="Arial" w:hAnsi="Arial"/>
          <w:sz w:val="21"/>
          <w:szCs w:val="21"/>
        </w:rPr>
        <w:t xml:space="preserve">oil-driven rand weakness lifts imported-line costs. Here SPAR has the edge: its retained Ireland business (BWG, ~€1.74bn) is a genuine rand hedge — a weak rand flatters reported euro earnings (it added ~270bps to Ireland's reported growth at H1). Shoprite, ~85% RSA, has little such offset.</w:t>
      </w:r>
    </w:p>
    <w:p>
      <w:pPr>
        <w:pStyle w:val="ListParagraph"/>
        <w:numPr>
          <w:ilvl w:val="0"/>
          <w:numId w:val="2"/>
        </w:numPr>
        <w:spacing w:after="80" w:line="264"/>
      </w:pPr>
      <w:r>
        <w:rPr>
          <w:rFonts w:ascii="Arial" w:cs="Arial" w:eastAsia="Arial" w:hAnsi="Arial"/>
          <w:b/>
          <w:bCs/>
          <w:sz w:val="21"/>
          <w:szCs w:val="21"/>
        </w:rPr>
        <w:t xml:space="preserve">Interest rates — </w:t>
      </w:r>
      <w:r>
        <w:rPr>
          <w:rFonts w:ascii="Arial" w:cs="Arial" w:eastAsia="Arial" w:hAnsi="Arial"/>
          <w:sz w:val="21"/>
          <w:szCs w:val="21"/>
        </w:rPr>
        <w:t xml:space="preserve">oil-led inflation forces the SARB tighter. This is the clearest hard-number channel, and it splits the two sharply: it is a manageable headwind on Shoprite's R7.0bn of mostly-rand debt (against R8.1bn of cash), but it directly threatens SPAR's de-gearing path and inflates the non-deductible interest on its legacy Poland debt.</w:t>
      </w:r>
    </w:p>
    <w:p>
      <w:pPr>
        <w:pStyle w:val="Heading1"/>
        <w:spacing w:after="120" w:before="240"/>
      </w:pPr>
      <w:r>
        <w:rPr>
          <w:rFonts w:ascii="Arial" w:cs="Arial" w:eastAsia="Arial" w:hAnsi="Arial"/>
        </w:rPr>
        <w:t xml:space="preserve">4.  Scenario A — the Strait stays open (peace holds)</w:t>
      </w:r>
    </w:p>
    <w:p>
      <w:pPr>
        <w:spacing w:after="120" w:before="0" w:line="264"/>
      </w:pPr>
      <w:r>
        <w:rPr>
          <w:rFonts w:ascii="Arial" w:cs="Arial" w:eastAsia="Arial" w:hAnsi="Arial"/>
          <w:b/>
          <w:bCs/>
          <w:sz w:val="21"/>
          <w:szCs w:val="21"/>
        </w:rPr>
        <w:t xml:space="preserve">Macro. </w:t>
      </w:r>
      <w:r>
        <w:rPr>
          <w:rFonts w:ascii="Arial" w:cs="Arial" w:eastAsia="Arial" w:hAnsi="Arial"/>
          <w:sz w:val="21"/>
          <w:szCs w:val="21"/>
        </w:rPr>
        <w:t xml:space="preserve">The reopening holds: Brent normalises toward ~$70–80, petrol and diesel ease off June's record, food inflation stays subdued, the rand firms, and the SARB — having just hiked to 7.00% — resumes cutting toward its ~6.67% intermediate path.</w:t>
      </w:r>
    </w:p>
    <w:p>
      <w:pPr>
        <w:pStyle w:val="Heading2"/>
        <w:spacing w:after="100" w:before="200"/>
      </w:pPr>
      <w:r>
        <w:rPr>
          <w:rFonts w:ascii="Arial" w:cs="Arial" w:eastAsia="Arial" w:hAnsi="Arial"/>
        </w:rPr>
        <w:t xml:space="preserve">Shoprite</w:t>
      </w:r>
    </w:p>
    <w:p>
      <w:pPr>
        <w:spacing w:after="120" w:before="0" w:line="264"/>
      </w:pPr>
      <w:r>
        <w:rPr>
          <w:rFonts w:ascii="Arial" w:cs="Arial" w:eastAsia="Arial" w:hAnsi="Arial"/>
          <w:sz w:val="21"/>
          <w:szCs w:val="21"/>
        </w:rPr>
        <w:t xml:space="preserve">A better business and a perfectly ownable one. Lower diesel protects distribution, the finance-cost headwind eases, and a recovering consumer lifts real volumes, letting it relax the price investment that has been narrowing its margin. Modelled continuing HEPS re-accelerates into the low-teens (≈1,522c FY2026e, ≈1,706c FY2027e). The catch is relative: a consumer recovery lifts discretionary and premium peers at least as much and rotates money into beaten-up cyclicals, so on ~20x earnings Shoprite can keep compounding yet lag a sharp relief rally.</w:t>
      </w:r>
    </w:p>
    <w:p>
      <w:pPr>
        <w:pStyle w:val="Heading2"/>
        <w:spacing w:after="100" w:before="200"/>
      </w:pPr>
      <w:r>
        <w:rPr>
          <w:rFonts w:ascii="Arial" w:cs="Arial" w:eastAsia="Arial" w:hAnsi="Arial"/>
        </w:rPr>
        <w:t xml:space="preserve">The SPAR Group</w:t>
      </w:r>
    </w:p>
    <w:p>
      <w:pPr>
        <w:spacing w:after="120" w:before="0" w:line="264"/>
      </w:pPr>
      <w:r>
        <w:rPr>
          <w:rFonts w:ascii="Arial" w:cs="Arial" w:eastAsia="Arial" w:hAnsi="Arial"/>
          <w:sz w:val="21"/>
          <w:szCs w:val="21"/>
        </w:rPr>
        <w:t xml:space="preserve">SPAR is the higher-beta name to the upside here — but for risky reasons. Falling rates ease finance costs and accelerate the de-gearing that is its whole story; fuel relief helps its logistics-heavy cost base; and a recovering consumer supports its independent retailers. Modelled operating margin rebuilds toward FY2025 levels and continuing HEPS recovers (≈470c FY2026e, ≈640c FY2027e) — but note that even in the best case FY2026 HEPS stays far below FY2025's 795.8c, because the H1 print was already 199.9c. Crucially, SPAR's recovery depends on fixing its own problems (KZN, SAP, cost discipline, retailer loyalty); the macro tailwind is necessary but not sufficient.</w:t>
      </w:r>
    </w:p>
    <w:p>
      <w:pPr>
        <w:pStyle w:val="Heading1"/>
        <w:spacing w:after="120" w:before="240"/>
      </w:pPr>
      <w:r>
        <w:rPr>
          <w:rFonts w:ascii="Arial" w:cs="Arial" w:eastAsia="Arial" w:hAnsi="Arial"/>
        </w:rPr>
        <w:t xml:space="preserve">5.  Scenario B — the Strait closes again and stays shut</w:t>
      </w:r>
    </w:p>
    <w:p>
      <w:pPr>
        <w:spacing w:after="120" w:before="0" w:line="264"/>
      </w:pPr>
      <w:r>
        <w:rPr>
          <w:rFonts w:ascii="Arial" w:cs="Arial" w:eastAsia="Arial" w:hAnsi="Arial"/>
          <w:b/>
          <w:bCs/>
          <w:sz w:val="21"/>
          <w:szCs w:val="21"/>
        </w:rPr>
        <w:t xml:space="preserve">Macro. </w:t>
      </w:r>
      <w:r>
        <w:rPr>
          <w:rFonts w:ascii="Arial" w:cs="Arial" w:eastAsia="Arial" w:hAnsi="Arial"/>
          <w:sz w:val="21"/>
          <w:szCs w:val="21"/>
        </w:rPr>
        <w:t xml:space="preserve">The oil shock persists: Brent holds ~$95–110+, pump prices stay at or above the inland-95 record of R28.06/l, the rand is weak, and the SARB stays restrictive — its published ‘severe’ scenario puts the repo at ~8.17% by end-2026, with inflation ~1pp hotter and real incomes falling.</w:t>
      </w:r>
    </w:p>
    <w:p>
      <w:pPr>
        <w:pStyle w:val="Heading2"/>
        <w:spacing w:after="100" w:before="200"/>
      </w:pPr>
      <w:r>
        <w:rPr>
          <w:rFonts w:ascii="Arial" w:cs="Arial" w:eastAsia="Arial" w:hAnsi="Arial"/>
        </w:rPr>
        <w:t xml:space="preserve">Shoprite</w:t>
      </w:r>
    </w:p>
    <w:p>
      <w:pPr>
        <w:spacing w:after="120" w:before="0" w:line="264"/>
      </w:pPr>
      <w:r>
        <w:rPr>
          <w:rFonts w:ascii="Arial" w:cs="Arial" w:eastAsia="Arial" w:hAnsi="Arial"/>
          <w:sz w:val="21"/>
          <w:szCs w:val="21"/>
        </w:rPr>
        <w:t xml:space="preserve">A tougher business but a stronger relative trade — the classic defensive. Four pressures stack up: the FY2025 diesel tailwind reverses with a lag, finance costs climb, real volumes soften, and it leans harder into price to hold share, so margins stay under pressure and modelled HEPS growth decelerates to mid/high-single-digit (≈1,445c FY2026e, ≈1,511c FY2027e). Yet this is precisely where Shoprite shines: non-discretionary food, the mass-market value leader, the prime trade-down beneficiary, a proven record of gaining share as the sector slows, and a net-cash balance sheet that funds price cuts when geared rivals cannot. In a risk-off JSE it tends to hold up — or re-rate — as cyclicals de-rate.</w:t>
      </w:r>
    </w:p>
    <w:p>
      <w:pPr>
        <w:pStyle w:val="Heading2"/>
        <w:spacing w:after="100" w:before="200"/>
      </w:pPr>
      <w:r>
        <w:rPr>
          <w:rFonts w:ascii="Arial" w:cs="Arial" w:eastAsia="Arial" w:hAnsi="Arial"/>
        </w:rPr>
        <w:t xml:space="preserve">The SPAR Group</w:t>
      </w:r>
    </w:p>
    <w:p>
      <w:pPr>
        <w:spacing w:after="120" w:before="0" w:line="264"/>
      </w:pPr>
      <w:r>
        <w:rPr>
          <w:rFonts w:ascii="Arial" w:cs="Arial" w:eastAsia="Arial" w:hAnsi="Arial"/>
          <w:sz w:val="21"/>
          <w:szCs w:val="21"/>
        </w:rPr>
        <w:t xml:space="preserve">Scenario B is genuinely dangerous for SPAR, not merely a headwind, because it lands on a business already in distress. Higher rates stall de-gearing (the entire equity thesis) and raise the non-deductible drag from the legacy Poland debt; sustained high fuel hits the distribution-heavy cost base and the still-fragile KZN DC; a squeezed consumer drives trade-down out of SPAR's mid-market independents into value chains, and raises both retailer-solvency risk and the debtor impairments that were already climbing at H1; and the dividend stays nil, pushing the re-rating thesis further out. Modelled operating margin stays suppressed and HEPS recovers only weakly (≈380c FY2026e, ≈430c FY2027e), with leverage drifting back toward ~1.9x. Banking covenants were met at H1, which matters — but the margin of safety is thin. This is where the distance to Shoprite is widest.</w:t>
      </w:r>
    </w:p>
    <w:p>
      <w:pPr>
        <w:pStyle w:val="Heading1"/>
        <w:spacing w:after="120" w:before="240"/>
      </w:pPr>
      <w:r>
        <w:rPr>
          <w:rFonts w:ascii="Arial" w:cs="Arial" w:eastAsia="Arial" w:hAnsi="Arial"/>
        </w:rPr>
        <w:t xml:space="preserve">6.  Relative resilience scorecard</w:t>
      </w:r>
    </w:p>
    <w:p>
      <w:pPr>
        <w:spacing w:after="120" w:before="0" w:line="264"/>
      </w:pPr>
      <w:r>
        <w:rPr>
          <w:rFonts w:ascii="Arial" w:cs="Arial" w:eastAsia="Arial" w:hAnsi="Arial"/>
          <w:sz w:val="21"/>
          <w:szCs w:val="21"/>
        </w:rPr>
        <w:t xml:space="preserve">Scored 1 (most fragile) to 5 (most resilient), primarily for Scenario B — the stress test. Analyst judgement; the underlying numbers are in the companion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60"/>
        <w:gridCol w:w="840"/>
        <w:gridCol w:w="840"/>
        <w:gridCol w:w="4820"/>
      </w:tblGrid>
      <w:tr>
        <w:trPr>
          <w:tblHeader/>
        </w:trPr>
        <w:tc>
          <w:tcPr>
            <w:tcW w:type="dxa" w:w="286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tcPr>
          <w:p>
            <w:pPr>
              <w:spacing w:after="0" w:line="248"/>
            </w:pPr>
            <w:r>
              <w:rPr>
                <w:rFonts w:ascii="Arial" w:cs="Arial" w:eastAsia="Arial" w:hAnsi="Arial"/>
                <w:b/>
                <w:bCs/>
                <w:color w:val="FFFFFF"/>
                <w:sz w:val="19"/>
                <w:szCs w:val="19"/>
              </w:rPr>
              <w:t xml:space="preserve">Resilience dimension</w:t>
            </w:r>
          </w:p>
        </w:tc>
        <w:tc>
          <w:tcPr>
            <w:tcW w:type="dxa" w:w="840"/>
            <w:tcBorders>
              <w:top w:val="single" w:color="CCCCCC" w:sz="1"/>
              <w:left w:val="single" w:color="CCCCCC" w:sz="1"/>
              <w:bottom w:val="single" w:color="CCCCCC" w:sz="1"/>
              <w:right w:val="single" w:color="CCCCCC" w:sz="1"/>
            </w:tcBorders>
            <w:shd w:fill="2E5496" w:val="clear"/>
            <w:tcMar>
              <w:top w:type="dxa" w:w="60"/>
              <w:left w:type="dxa" w:w="110"/>
              <w:bottom w:type="dxa" w:w="60"/>
              <w:right w:type="dxa" w:w="110"/>
            </w:tcMar>
          </w:tcPr>
          <w:p>
            <w:pPr>
              <w:spacing w:after="0" w:line="248"/>
              <w:jc w:val="center"/>
            </w:pPr>
            <w:r>
              <w:rPr>
                <w:rFonts w:ascii="Arial" w:cs="Arial" w:eastAsia="Arial" w:hAnsi="Arial"/>
                <w:b/>
                <w:bCs/>
                <w:color w:val="FFFFFF"/>
                <w:sz w:val="19"/>
                <w:szCs w:val="19"/>
              </w:rPr>
              <w:t xml:space="preserve">SHP</w:t>
            </w:r>
          </w:p>
        </w:tc>
        <w:tc>
          <w:tcPr>
            <w:tcW w:type="dxa" w:w="840"/>
            <w:tcBorders>
              <w:top w:val="single" w:color="CCCCCC" w:sz="1"/>
              <w:left w:val="single" w:color="CCCCCC" w:sz="1"/>
              <w:bottom w:val="single" w:color="CCCCCC" w:sz="1"/>
              <w:right w:val="single" w:color="CCCCCC" w:sz="1"/>
            </w:tcBorders>
            <w:shd w:fill="375623" w:val="clear"/>
            <w:tcMar>
              <w:top w:type="dxa" w:w="60"/>
              <w:left w:type="dxa" w:w="110"/>
              <w:bottom w:type="dxa" w:w="60"/>
              <w:right w:type="dxa" w:w="110"/>
            </w:tcMar>
          </w:tcPr>
          <w:p>
            <w:pPr>
              <w:spacing w:after="0" w:line="248"/>
              <w:jc w:val="center"/>
            </w:pPr>
            <w:r>
              <w:rPr>
                <w:rFonts w:ascii="Arial" w:cs="Arial" w:eastAsia="Arial" w:hAnsi="Arial"/>
                <w:b/>
                <w:bCs/>
                <w:color w:val="FFFFFF"/>
                <w:sz w:val="19"/>
                <w:szCs w:val="19"/>
              </w:rPr>
              <w:t xml:space="preserve">SPP</w:t>
            </w:r>
          </w:p>
        </w:tc>
        <w:tc>
          <w:tcPr>
            <w:tcW w:type="dxa" w:w="482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tcPr>
          <w:p>
            <w:pPr>
              <w:spacing w:after="0" w:line="248"/>
            </w:pPr>
            <w:r>
              <w:rPr>
                <w:rFonts w:ascii="Arial" w:cs="Arial" w:eastAsia="Arial" w:hAnsi="Arial"/>
                <w:b/>
                <w:bCs/>
                <w:color w:val="FFFFFF"/>
                <w:sz w:val="19"/>
                <w:szCs w:val="19"/>
              </w:rPr>
              <w:t xml:space="preserve">Read (scored for Scenario B, the stress case)</w:t>
            </w:r>
          </w:p>
        </w:tc>
      </w:tr>
      <w:tr>
        <w:tc>
          <w:tcPr>
            <w:tcW w:type="dxa" w:w="286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spacing w:after="0" w:line="248"/>
            </w:pPr>
            <w:r>
              <w:rPr>
                <w:rFonts w:ascii="Arial" w:cs="Arial" w:eastAsia="Arial" w:hAnsi="Arial"/>
                <w:b/>
                <w:bCs/>
                <w:sz w:val="19"/>
                <w:szCs w:val="19"/>
              </w:rPr>
              <w:t xml:space="preserve">Balance sheet strength</w:t>
            </w:r>
          </w:p>
        </w:tc>
        <w:tc>
          <w:tcPr>
            <w:tcW w:type="dxa" w:w="840"/>
            <w:tcBorders>
              <w:top w:val="single" w:color="CCCCCC" w:sz="1"/>
              <w:left w:val="single" w:color="CCCCCC" w:sz="1"/>
              <w:bottom w:val="single" w:color="CCCCCC" w:sz="1"/>
              <w:right w:val="single" w:color="CCCCCC" w:sz="1"/>
            </w:tcBorders>
            <w:shd w:fill="375623" w:val="clear"/>
            <w:tcMar>
              <w:top w:type="dxa" w:w="60"/>
              <w:left w:type="dxa" w:w="110"/>
              <w:bottom w:type="dxa" w:w="60"/>
              <w:right w:type="dxa" w:w="110"/>
            </w:tcMar>
          </w:tcPr>
          <w:p>
            <w:pPr>
              <w:spacing w:after="0" w:line="248"/>
              <w:jc w:val="center"/>
            </w:pPr>
            <w:r>
              <w:rPr>
                <w:rFonts w:ascii="Arial" w:cs="Arial" w:eastAsia="Arial" w:hAnsi="Arial"/>
                <w:b/>
                <w:bCs/>
                <w:color w:val="FFFFFF"/>
                <w:sz w:val="19"/>
                <w:szCs w:val="19"/>
              </w:rPr>
              <w:t xml:space="preserve">5</w:t>
            </w:r>
          </w:p>
        </w:tc>
        <w:tc>
          <w:tcPr>
            <w:tcW w:type="dxa" w:w="840"/>
            <w:tcBorders>
              <w:top w:val="single" w:color="CCCCCC" w:sz="1"/>
              <w:left w:val="single" w:color="CCCCCC" w:sz="1"/>
              <w:bottom w:val="single" w:color="CCCCCC" w:sz="1"/>
              <w:right w:val="single" w:color="CCCCCC" w:sz="1"/>
            </w:tcBorders>
            <w:shd w:fill="C00000" w:val="clear"/>
            <w:tcMar>
              <w:top w:type="dxa" w:w="60"/>
              <w:left w:type="dxa" w:w="110"/>
              <w:bottom w:type="dxa" w:w="60"/>
              <w:right w:type="dxa" w:w="110"/>
            </w:tcMar>
          </w:tcPr>
          <w:p>
            <w:pPr>
              <w:spacing w:after="0" w:line="248"/>
              <w:jc w:val="center"/>
            </w:pPr>
            <w:r>
              <w:rPr>
                <w:rFonts w:ascii="Arial" w:cs="Arial" w:eastAsia="Arial" w:hAnsi="Arial"/>
                <w:b/>
                <w:bCs/>
                <w:color w:val="FFFFFF"/>
                <w:sz w:val="19"/>
                <w:szCs w:val="19"/>
              </w:rPr>
              <w:t xml:space="preserve">2</w:t>
            </w:r>
          </w:p>
        </w:tc>
        <w:tc>
          <w:tcPr>
            <w:tcW w:type="dxa" w:w="4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8"/>
            </w:pPr>
            <w:r>
              <w:rPr>
                <w:rFonts w:ascii="Arial" w:cs="Arial" w:eastAsia="Arial" w:hAnsi="Arial"/>
                <w:sz w:val="19"/>
                <w:szCs w:val="19"/>
              </w:rPr>
              <w:t xml:space="preserve">Net cash R8.1bn vs net debt R5.4bn (1.74x). A high-rate path stalls SPAR's de-gearing — its whole equity thesis.</w:t>
            </w:r>
          </w:p>
        </w:tc>
      </w:tr>
      <w:tr>
        <w:tc>
          <w:tcPr>
            <w:tcW w:type="dxa" w:w="286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spacing w:after="0" w:line="248"/>
            </w:pPr>
            <w:r>
              <w:rPr>
                <w:rFonts w:ascii="Arial" w:cs="Arial" w:eastAsia="Arial" w:hAnsi="Arial"/>
                <w:b/>
                <w:bCs/>
                <w:sz w:val="19"/>
                <w:szCs w:val="19"/>
              </w:rPr>
              <w:t xml:space="preserve">Earnings momentum entering</w:t>
            </w:r>
          </w:p>
        </w:tc>
        <w:tc>
          <w:tcPr>
            <w:tcW w:type="dxa" w:w="840"/>
            <w:tcBorders>
              <w:top w:val="single" w:color="CCCCCC" w:sz="1"/>
              <w:left w:val="single" w:color="CCCCCC" w:sz="1"/>
              <w:bottom w:val="single" w:color="CCCCCC" w:sz="1"/>
              <w:right w:val="single" w:color="CCCCCC" w:sz="1"/>
            </w:tcBorders>
            <w:shd w:fill="375623" w:val="clear"/>
            <w:tcMar>
              <w:top w:type="dxa" w:w="60"/>
              <w:left w:type="dxa" w:w="110"/>
              <w:bottom w:type="dxa" w:w="60"/>
              <w:right w:type="dxa" w:w="110"/>
            </w:tcMar>
          </w:tcPr>
          <w:p>
            <w:pPr>
              <w:spacing w:after="0" w:line="248"/>
              <w:jc w:val="center"/>
            </w:pPr>
            <w:r>
              <w:rPr>
                <w:rFonts w:ascii="Arial" w:cs="Arial" w:eastAsia="Arial" w:hAnsi="Arial"/>
                <w:b/>
                <w:bCs/>
                <w:color w:val="FFFFFF"/>
                <w:sz w:val="19"/>
                <w:szCs w:val="19"/>
              </w:rPr>
              <w:t xml:space="preserve">5</w:t>
            </w:r>
          </w:p>
        </w:tc>
        <w:tc>
          <w:tcPr>
            <w:tcW w:type="dxa" w:w="840"/>
            <w:tcBorders>
              <w:top w:val="single" w:color="CCCCCC" w:sz="1"/>
              <w:left w:val="single" w:color="CCCCCC" w:sz="1"/>
              <w:bottom w:val="single" w:color="CCCCCC" w:sz="1"/>
              <w:right w:val="single" w:color="CCCCCC" w:sz="1"/>
            </w:tcBorders>
            <w:shd w:fill="C00000" w:val="clear"/>
            <w:tcMar>
              <w:top w:type="dxa" w:w="60"/>
              <w:left w:type="dxa" w:w="110"/>
              <w:bottom w:type="dxa" w:w="60"/>
              <w:right w:type="dxa" w:w="110"/>
            </w:tcMar>
          </w:tcPr>
          <w:p>
            <w:pPr>
              <w:spacing w:after="0" w:line="248"/>
              <w:jc w:val="center"/>
            </w:pPr>
            <w:r>
              <w:rPr>
                <w:rFonts w:ascii="Arial" w:cs="Arial" w:eastAsia="Arial" w:hAnsi="Arial"/>
                <w:b/>
                <w:bCs/>
                <w:color w:val="FFFFFF"/>
                <w:sz w:val="19"/>
                <w:szCs w:val="19"/>
              </w:rPr>
              <w:t xml:space="preserve">1</w:t>
            </w:r>
          </w:p>
        </w:tc>
        <w:tc>
          <w:tcPr>
            <w:tcW w:type="dxa" w:w="4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8"/>
            </w:pPr>
            <w:r>
              <w:rPr>
                <w:rFonts w:ascii="Arial" w:cs="Arial" w:eastAsia="Arial" w:hAnsi="Arial"/>
                <w:sz w:val="19"/>
                <w:szCs w:val="19"/>
              </w:rPr>
              <w:t xml:space="preserve">SHP HEPS +15.8% FY25, +7.9% at H1; SPP HEPS −55.5% at H1 — already in distress before any shock.</w:t>
            </w:r>
          </w:p>
        </w:tc>
      </w:tr>
      <w:tr>
        <w:tc>
          <w:tcPr>
            <w:tcW w:type="dxa" w:w="286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spacing w:after="0" w:line="248"/>
            </w:pPr>
            <w:r>
              <w:rPr>
                <w:rFonts w:ascii="Arial" w:cs="Arial" w:eastAsia="Arial" w:hAnsi="Arial"/>
                <w:b/>
                <w:bCs/>
                <w:sz w:val="19"/>
                <w:szCs w:val="19"/>
              </w:rPr>
              <w:t xml:space="preserve">Margin level &amp; direction</w:t>
            </w:r>
          </w:p>
        </w:tc>
        <w:tc>
          <w:tcPr>
            <w:tcW w:type="dxa" w:w="840"/>
            <w:tcBorders>
              <w:top w:val="single" w:color="CCCCCC" w:sz="1"/>
              <w:left w:val="single" w:color="CCCCCC" w:sz="1"/>
              <w:bottom w:val="single" w:color="CCCCCC" w:sz="1"/>
              <w:right w:val="single" w:color="CCCCCC" w:sz="1"/>
            </w:tcBorders>
            <w:shd w:fill="375623" w:val="clear"/>
            <w:tcMar>
              <w:top w:type="dxa" w:w="60"/>
              <w:left w:type="dxa" w:w="110"/>
              <w:bottom w:type="dxa" w:w="60"/>
              <w:right w:type="dxa" w:w="110"/>
            </w:tcMar>
          </w:tcPr>
          <w:p>
            <w:pPr>
              <w:spacing w:after="0" w:line="248"/>
              <w:jc w:val="center"/>
            </w:pPr>
            <w:r>
              <w:rPr>
                <w:rFonts w:ascii="Arial" w:cs="Arial" w:eastAsia="Arial" w:hAnsi="Arial"/>
                <w:b/>
                <w:bCs/>
                <w:color w:val="FFFFFF"/>
                <w:sz w:val="19"/>
                <w:szCs w:val="19"/>
              </w:rPr>
              <w:t xml:space="preserve">4</w:t>
            </w:r>
          </w:p>
        </w:tc>
        <w:tc>
          <w:tcPr>
            <w:tcW w:type="dxa" w:w="840"/>
            <w:tcBorders>
              <w:top w:val="single" w:color="CCCCCC" w:sz="1"/>
              <w:left w:val="single" w:color="CCCCCC" w:sz="1"/>
              <w:bottom w:val="single" w:color="CCCCCC" w:sz="1"/>
              <w:right w:val="single" w:color="CCCCCC" w:sz="1"/>
            </w:tcBorders>
            <w:shd w:fill="C00000" w:val="clear"/>
            <w:tcMar>
              <w:top w:type="dxa" w:w="60"/>
              <w:left w:type="dxa" w:w="110"/>
              <w:bottom w:type="dxa" w:w="60"/>
              <w:right w:type="dxa" w:w="110"/>
            </w:tcMar>
          </w:tcPr>
          <w:p>
            <w:pPr>
              <w:spacing w:after="0" w:line="248"/>
              <w:jc w:val="center"/>
            </w:pPr>
            <w:r>
              <w:rPr>
                <w:rFonts w:ascii="Arial" w:cs="Arial" w:eastAsia="Arial" w:hAnsi="Arial"/>
                <w:b/>
                <w:bCs/>
                <w:color w:val="FFFFFF"/>
                <w:sz w:val="19"/>
                <w:szCs w:val="19"/>
              </w:rPr>
              <w:t xml:space="preserve">2</w:t>
            </w:r>
          </w:p>
        </w:tc>
        <w:tc>
          <w:tcPr>
            <w:tcW w:type="dxa" w:w="4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8"/>
            </w:pPr>
            <w:r>
              <w:rPr>
                <w:rFonts w:ascii="Arial" w:cs="Arial" w:eastAsia="Arial" w:hAnsi="Arial"/>
                <w:sz w:val="19"/>
                <w:szCs w:val="19"/>
              </w:rPr>
              <w:t xml:space="preserve">SHP trading margin 5.9% and rising; SPP operating margin halved to 1.1% at H1.</w:t>
            </w:r>
          </w:p>
        </w:tc>
      </w:tr>
      <w:tr>
        <w:tc>
          <w:tcPr>
            <w:tcW w:type="dxa" w:w="286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spacing w:after="0" w:line="248"/>
            </w:pPr>
            <w:r>
              <w:rPr>
                <w:rFonts w:ascii="Arial" w:cs="Arial" w:eastAsia="Arial" w:hAnsi="Arial"/>
                <w:b/>
                <w:bCs/>
                <w:sz w:val="19"/>
                <w:szCs w:val="19"/>
              </w:rPr>
              <w:t xml:space="preserve">Model under consumer stress</w:t>
            </w:r>
          </w:p>
        </w:tc>
        <w:tc>
          <w:tcPr>
            <w:tcW w:type="dxa" w:w="840"/>
            <w:tcBorders>
              <w:top w:val="single" w:color="CCCCCC" w:sz="1"/>
              <w:left w:val="single" w:color="CCCCCC" w:sz="1"/>
              <w:bottom w:val="single" w:color="CCCCCC" w:sz="1"/>
              <w:right w:val="single" w:color="CCCCCC" w:sz="1"/>
            </w:tcBorders>
            <w:shd w:fill="375623" w:val="clear"/>
            <w:tcMar>
              <w:top w:type="dxa" w:w="60"/>
              <w:left w:type="dxa" w:w="110"/>
              <w:bottom w:type="dxa" w:w="60"/>
              <w:right w:type="dxa" w:w="110"/>
            </w:tcMar>
          </w:tcPr>
          <w:p>
            <w:pPr>
              <w:spacing w:after="0" w:line="248"/>
              <w:jc w:val="center"/>
            </w:pPr>
            <w:r>
              <w:rPr>
                <w:rFonts w:ascii="Arial" w:cs="Arial" w:eastAsia="Arial" w:hAnsi="Arial"/>
                <w:b/>
                <w:bCs/>
                <w:color w:val="FFFFFF"/>
                <w:sz w:val="19"/>
                <w:szCs w:val="19"/>
              </w:rPr>
              <w:t xml:space="preserve">5</w:t>
            </w:r>
          </w:p>
        </w:tc>
        <w:tc>
          <w:tcPr>
            <w:tcW w:type="dxa" w:w="840"/>
            <w:tcBorders>
              <w:top w:val="single" w:color="CCCCCC" w:sz="1"/>
              <w:left w:val="single" w:color="CCCCCC" w:sz="1"/>
              <w:bottom w:val="single" w:color="CCCCCC" w:sz="1"/>
              <w:right w:val="single" w:color="CCCCCC" w:sz="1"/>
            </w:tcBorders>
            <w:shd w:fill="C00000" w:val="clear"/>
            <w:tcMar>
              <w:top w:type="dxa" w:w="60"/>
              <w:left w:type="dxa" w:w="110"/>
              <w:bottom w:type="dxa" w:w="60"/>
              <w:right w:type="dxa" w:w="110"/>
            </w:tcMar>
          </w:tcPr>
          <w:p>
            <w:pPr>
              <w:spacing w:after="0" w:line="248"/>
              <w:jc w:val="center"/>
            </w:pPr>
            <w:r>
              <w:rPr>
                <w:rFonts w:ascii="Arial" w:cs="Arial" w:eastAsia="Arial" w:hAnsi="Arial"/>
                <w:b/>
                <w:bCs/>
                <w:color w:val="FFFFFF"/>
                <w:sz w:val="19"/>
                <w:szCs w:val="19"/>
              </w:rPr>
              <w:t xml:space="preserve">2</w:t>
            </w:r>
          </w:p>
        </w:tc>
        <w:tc>
          <w:tcPr>
            <w:tcW w:type="dxa" w:w="4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8"/>
            </w:pPr>
            <w:r>
              <w:rPr>
                <w:rFonts w:ascii="Arial" w:cs="Arial" w:eastAsia="Arial" w:hAnsi="Arial"/>
                <w:sz w:val="19"/>
                <w:szCs w:val="19"/>
              </w:rPr>
              <w:t xml:space="preserve">SHP is the value/trade-down WINNER; SPAR's mid-market independents LOSE share to value chains.</w:t>
            </w:r>
          </w:p>
        </w:tc>
      </w:tr>
      <w:tr>
        <w:tc>
          <w:tcPr>
            <w:tcW w:type="dxa" w:w="286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spacing w:after="0" w:line="248"/>
            </w:pPr>
            <w:r>
              <w:rPr>
                <w:rFonts w:ascii="Arial" w:cs="Arial" w:eastAsia="Arial" w:hAnsi="Arial"/>
                <w:b/>
                <w:bCs/>
                <w:sz w:val="19"/>
                <w:szCs w:val="19"/>
              </w:rPr>
              <w:t xml:space="preserve">Distribution / fuel exposure</w:t>
            </w:r>
          </w:p>
        </w:tc>
        <w:tc>
          <w:tcPr>
            <w:tcW w:type="dxa" w:w="840"/>
            <w:tcBorders>
              <w:top w:val="single" w:color="CCCCCC" w:sz="1"/>
              <w:left w:val="single" w:color="CCCCCC" w:sz="1"/>
              <w:bottom w:val="single" w:color="CCCCCC" w:sz="1"/>
              <w:right w:val="single" w:color="CCCCCC" w:sz="1"/>
            </w:tcBorders>
            <w:shd w:fill="375623" w:val="clear"/>
            <w:tcMar>
              <w:top w:type="dxa" w:w="60"/>
              <w:left w:type="dxa" w:w="110"/>
              <w:bottom w:type="dxa" w:w="60"/>
              <w:right w:type="dxa" w:w="110"/>
            </w:tcMar>
          </w:tcPr>
          <w:p>
            <w:pPr>
              <w:spacing w:after="0" w:line="248"/>
              <w:jc w:val="center"/>
            </w:pPr>
            <w:r>
              <w:rPr>
                <w:rFonts w:ascii="Arial" w:cs="Arial" w:eastAsia="Arial" w:hAnsi="Arial"/>
                <w:b/>
                <w:bCs/>
                <w:color w:val="FFFFFF"/>
                <w:sz w:val="19"/>
                <w:szCs w:val="19"/>
              </w:rPr>
              <w:t xml:space="preserve">4</w:t>
            </w:r>
          </w:p>
        </w:tc>
        <w:tc>
          <w:tcPr>
            <w:tcW w:type="dxa" w:w="840"/>
            <w:tcBorders>
              <w:top w:val="single" w:color="CCCCCC" w:sz="1"/>
              <w:left w:val="single" w:color="CCCCCC" w:sz="1"/>
              <w:bottom w:val="single" w:color="CCCCCC" w:sz="1"/>
              <w:right w:val="single" w:color="CCCCCC" w:sz="1"/>
            </w:tcBorders>
            <w:shd w:fill="C00000" w:val="clear"/>
            <w:tcMar>
              <w:top w:type="dxa" w:w="60"/>
              <w:left w:type="dxa" w:w="110"/>
              <w:bottom w:type="dxa" w:w="60"/>
              <w:right w:type="dxa" w:w="110"/>
            </w:tcMar>
          </w:tcPr>
          <w:p>
            <w:pPr>
              <w:spacing w:after="0" w:line="248"/>
              <w:jc w:val="center"/>
            </w:pPr>
            <w:r>
              <w:rPr>
                <w:rFonts w:ascii="Arial" w:cs="Arial" w:eastAsia="Arial" w:hAnsi="Arial"/>
                <w:b/>
                <w:bCs/>
                <w:color w:val="FFFFFF"/>
                <w:sz w:val="19"/>
                <w:szCs w:val="19"/>
              </w:rPr>
              <w:t xml:space="preserve">2</w:t>
            </w:r>
          </w:p>
        </w:tc>
        <w:tc>
          <w:tcPr>
            <w:tcW w:type="dxa" w:w="4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8"/>
            </w:pPr>
            <w:r>
              <w:rPr>
                <w:rFonts w:ascii="Arial" w:cs="Arial" w:eastAsia="Arial" w:hAnsi="Arial"/>
                <w:sz w:val="19"/>
                <w:szCs w:val="19"/>
              </w:rPr>
              <w:t xml:space="preserve">SPAR is a wholesale-distribution business — fuel is core cost-to-serve; KZN DC already wounded.</w:t>
            </w:r>
          </w:p>
        </w:tc>
      </w:tr>
      <w:tr>
        <w:tc>
          <w:tcPr>
            <w:tcW w:type="dxa" w:w="286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spacing w:after="0" w:line="248"/>
            </w:pPr>
            <w:r>
              <w:rPr>
                <w:rFonts w:ascii="Arial" w:cs="Arial" w:eastAsia="Arial" w:hAnsi="Arial"/>
                <w:b/>
                <w:bCs/>
                <w:sz w:val="19"/>
                <w:szCs w:val="19"/>
              </w:rPr>
              <w:t xml:space="preserve">Counterparty / credit risk</w:t>
            </w:r>
          </w:p>
        </w:tc>
        <w:tc>
          <w:tcPr>
            <w:tcW w:type="dxa" w:w="840"/>
            <w:tcBorders>
              <w:top w:val="single" w:color="CCCCCC" w:sz="1"/>
              <w:left w:val="single" w:color="CCCCCC" w:sz="1"/>
              <w:bottom w:val="single" w:color="CCCCCC" w:sz="1"/>
              <w:right w:val="single" w:color="CCCCCC" w:sz="1"/>
            </w:tcBorders>
            <w:shd w:fill="375623" w:val="clear"/>
            <w:tcMar>
              <w:top w:type="dxa" w:w="60"/>
              <w:left w:type="dxa" w:w="110"/>
              <w:bottom w:type="dxa" w:w="60"/>
              <w:right w:type="dxa" w:w="110"/>
            </w:tcMar>
          </w:tcPr>
          <w:p>
            <w:pPr>
              <w:spacing w:after="0" w:line="248"/>
              <w:jc w:val="center"/>
            </w:pPr>
            <w:r>
              <w:rPr>
                <w:rFonts w:ascii="Arial" w:cs="Arial" w:eastAsia="Arial" w:hAnsi="Arial"/>
                <w:b/>
                <w:bCs/>
                <w:color w:val="FFFFFF"/>
                <w:sz w:val="19"/>
                <w:szCs w:val="19"/>
              </w:rPr>
              <w:t xml:space="preserve">4</w:t>
            </w:r>
          </w:p>
        </w:tc>
        <w:tc>
          <w:tcPr>
            <w:tcW w:type="dxa" w:w="840"/>
            <w:tcBorders>
              <w:top w:val="single" w:color="CCCCCC" w:sz="1"/>
              <w:left w:val="single" w:color="CCCCCC" w:sz="1"/>
              <w:bottom w:val="single" w:color="CCCCCC" w:sz="1"/>
              <w:right w:val="single" w:color="CCCCCC" w:sz="1"/>
            </w:tcBorders>
            <w:shd w:fill="C00000" w:val="clear"/>
            <w:tcMar>
              <w:top w:type="dxa" w:w="60"/>
              <w:left w:type="dxa" w:w="110"/>
              <w:bottom w:type="dxa" w:w="60"/>
              <w:right w:type="dxa" w:w="110"/>
            </w:tcMar>
          </w:tcPr>
          <w:p>
            <w:pPr>
              <w:spacing w:after="0" w:line="248"/>
              <w:jc w:val="center"/>
            </w:pPr>
            <w:r>
              <w:rPr>
                <w:rFonts w:ascii="Arial" w:cs="Arial" w:eastAsia="Arial" w:hAnsi="Arial"/>
                <w:b/>
                <w:bCs/>
                <w:color w:val="FFFFFF"/>
                <w:sz w:val="19"/>
                <w:szCs w:val="19"/>
              </w:rPr>
              <w:t xml:space="preserve">2</w:t>
            </w:r>
          </w:p>
        </w:tc>
        <w:tc>
          <w:tcPr>
            <w:tcW w:type="dxa" w:w="4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8"/>
            </w:pPr>
            <w:r>
              <w:rPr>
                <w:rFonts w:ascii="Arial" w:cs="Arial" w:eastAsia="Arial" w:hAnsi="Arial"/>
                <w:sz w:val="19"/>
                <w:szCs w:val="19"/>
              </w:rPr>
              <w:t xml:space="preserve">SPAR finances independent retailers; debtor impairments already rising into a downturn.</w:t>
            </w:r>
          </w:p>
        </w:tc>
      </w:tr>
      <w:tr>
        <w:tc>
          <w:tcPr>
            <w:tcW w:type="dxa" w:w="286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spacing w:after="0" w:line="248"/>
            </w:pPr>
            <w:r>
              <w:rPr>
                <w:rFonts w:ascii="Arial" w:cs="Arial" w:eastAsia="Arial" w:hAnsi="Arial"/>
                <w:b/>
                <w:bCs/>
                <w:sz w:val="19"/>
                <w:szCs w:val="19"/>
              </w:rPr>
              <w:t xml:space="preserve">Rand / FX positioning</w:t>
            </w:r>
          </w:p>
        </w:tc>
        <w:tc>
          <w:tcPr>
            <w:tcW w:type="dxa" w:w="840"/>
            <w:tcBorders>
              <w:top w:val="single" w:color="CCCCCC" w:sz="1"/>
              <w:left w:val="single" w:color="CCCCCC" w:sz="1"/>
              <w:bottom w:val="single" w:color="CCCCCC" w:sz="1"/>
              <w:right w:val="single" w:color="CCCCCC" w:sz="1"/>
            </w:tcBorders>
            <w:shd w:fill="BF8F00" w:val="clear"/>
            <w:tcMar>
              <w:top w:type="dxa" w:w="60"/>
              <w:left w:type="dxa" w:w="110"/>
              <w:bottom w:type="dxa" w:w="60"/>
              <w:right w:type="dxa" w:w="110"/>
            </w:tcMar>
          </w:tcPr>
          <w:p>
            <w:pPr>
              <w:spacing w:after="0" w:line="248"/>
              <w:jc w:val="center"/>
            </w:pPr>
            <w:r>
              <w:rPr>
                <w:rFonts w:ascii="Arial" w:cs="Arial" w:eastAsia="Arial" w:hAnsi="Arial"/>
                <w:b/>
                <w:bCs/>
                <w:color w:val="FFFFFF"/>
                <w:sz w:val="19"/>
                <w:szCs w:val="19"/>
              </w:rPr>
              <w:t xml:space="preserve">3</w:t>
            </w:r>
          </w:p>
        </w:tc>
        <w:tc>
          <w:tcPr>
            <w:tcW w:type="dxa" w:w="840"/>
            <w:tcBorders>
              <w:top w:val="single" w:color="CCCCCC" w:sz="1"/>
              <w:left w:val="single" w:color="CCCCCC" w:sz="1"/>
              <w:bottom w:val="single" w:color="CCCCCC" w:sz="1"/>
              <w:right w:val="single" w:color="CCCCCC" w:sz="1"/>
            </w:tcBorders>
            <w:shd w:fill="375623" w:val="clear"/>
            <w:tcMar>
              <w:top w:type="dxa" w:w="60"/>
              <w:left w:type="dxa" w:w="110"/>
              <w:bottom w:type="dxa" w:w="60"/>
              <w:right w:type="dxa" w:w="110"/>
            </w:tcMar>
          </w:tcPr>
          <w:p>
            <w:pPr>
              <w:spacing w:after="0" w:line="248"/>
              <w:jc w:val="center"/>
            </w:pPr>
            <w:r>
              <w:rPr>
                <w:rFonts w:ascii="Arial" w:cs="Arial" w:eastAsia="Arial" w:hAnsi="Arial"/>
                <w:b/>
                <w:bCs/>
                <w:color w:val="FFFFFF"/>
                <w:sz w:val="19"/>
                <w:szCs w:val="19"/>
              </w:rPr>
              <w:t xml:space="preserve">4</w:t>
            </w:r>
          </w:p>
        </w:tc>
        <w:tc>
          <w:tcPr>
            <w:tcW w:type="dxa" w:w="4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8"/>
            </w:pPr>
            <w:r>
              <w:rPr>
                <w:rFonts w:ascii="Arial" w:cs="Arial" w:eastAsia="Arial" w:hAnsi="Arial"/>
                <w:sz w:val="19"/>
                <w:szCs w:val="19"/>
              </w:rPr>
              <w:t xml:space="preserve">SPAR's one edge: Ireland (€1.74bn) is a genuine rand hedge; SHP is ~85% RSA.</w:t>
            </w:r>
          </w:p>
        </w:tc>
      </w:tr>
      <w:tr>
        <w:tc>
          <w:tcPr>
            <w:tcW w:type="dxa" w:w="286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spacing w:after="0" w:line="248"/>
            </w:pPr>
            <w:r>
              <w:rPr>
                <w:rFonts w:ascii="Arial" w:cs="Arial" w:eastAsia="Arial" w:hAnsi="Arial"/>
                <w:b/>
                <w:bCs/>
                <w:sz w:val="19"/>
                <w:szCs w:val="19"/>
              </w:rPr>
              <w:t xml:space="preserve">Management / execution</w:t>
            </w:r>
          </w:p>
        </w:tc>
        <w:tc>
          <w:tcPr>
            <w:tcW w:type="dxa" w:w="840"/>
            <w:tcBorders>
              <w:top w:val="single" w:color="CCCCCC" w:sz="1"/>
              <w:left w:val="single" w:color="CCCCCC" w:sz="1"/>
              <w:bottom w:val="single" w:color="CCCCCC" w:sz="1"/>
              <w:right w:val="single" w:color="CCCCCC" w:sz="1"/>
            </w:tcBorders>
            <w:shd w:fill="375623" w:val="clear"/>
            <w:tcMar>
              <w:top w:type="dxa" w:w="60"/>
              <w:left w:type="dxa" w:w="110"/>
              <w:bottom w:type="dxa" w:w="60"/>
              <w:right w:type="dxa" w:w="110"/>
            </w:tcMar>
          </w:tcPr>
          <w:p>
            <w:pPr>
              <w:spacing w:after="0" w:line="248"/>
              <w:jc w:val="center"/>
            </w:pPr>
            <w:r>
              <w:rPr>
                <w:rFonts w:ascii="Arial" w:cs="Arial" w:eastAsia="Arial" w:hAnsi="Arial"/>
                <w:b/>
                <w:bCs/>
                <w:color w:val="FFFFFF"/>
                <w:sz w:val="19"/>
                <w:szCs w:val="19"/>
              </w:rPr>
              <w:t xml:space="preserve">5</w:t>
            </w:r>
          </w:p>
        </w:tc>
        <w:tc>
          <w:tcPr>
            <w:tcW w:type="dxa" w:w="840"/>
            <w:tcBorders>
              <w:top w:val="single" w:color="CCCCCC" w:sz="1"/>
              <w:left w:val="single" w:color="CCCCCC" w:sz="1"/>
              <w:bottom w:val="single" w:color="CCCCCC" w:sz="1"/>
              <w:right w:val="single" w:color="CCCCCC" w:sz="1"/>
            </w:tcBorders>
            <w:shd w:fill="C00000" w:val="clear"/>
            <w:tcMar>
              <w:top w:type="dxa" w:w="60"/>
              <w:left w:type="dxa" w:w="110"/>
              <w:bottom w:type="dxa" w:w="60"/>
              <w:right w:type="dxa" w:w="110"/>
            </w:tcMar>
          </w:tcPr>
          <w:p>
            <w:pPr>
              <w:spacing w:after="0" w:line="248"/>
              <w:jc w:val="center"/>
            </w:pPr>
            <w:r>
              <w:rPr>
                <w:rFonts w:ascii="Arial" w:cs="Arial" w:eastAsia="Arial" w:hAnsi="Arial"/>
                <w:b/>
                <w:bCs/>
                <w:color w:val="FFFFFF"/>
                <w:sz w:val="19"/>
                <w:szCs w:val="19"/>
              </w:rPr>
              <w:t xml:space="preserve">2</w:t>
            </w:r>
          </w:p>
        </w:tc>
        <w:tc>
          <w:tcPr>
            <w:tcW w:type="dxa" w:w="4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8"/>
            </w:pPr>
            <w:r>
              <w:rPr>
                <w:rFonts w:ascii="Arial" w:cs="Arial" w:eastAsia="Arial" w:hAnsi="Arial"/>
                <w:sz w:val="19"/>
                <w:szCs w:val="19"/>
              </w:rPr>
              <w:t xml:space="preserve">Entire SPAR C-suite new since Mar 2026; KZN + SAP risk; 61% pay revolt. SHP stable.</w:t>
            </w:r>
          </w:p>
        </w:tc>
      </w:tr>
      <w:tr>
        <w:tc>
          <w:tcPr>
            <w:tcW w:type="dxa" w:w="286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spacing w:after="0" w:line="248"/>
            </w:pPr>
            <w:r>
              <w:rPr>
                <w:rFonts w:ascii="Arial" w:cs="Arial" w:eastAsia="Arial" w:hAnsi="Arial"/>
                <w:b/>
                <w:bCs/>
                <w:sz w:val="19"/>
                <w:szCs w:val="19"/>
              </w:rPr>
              <w:t xml:space="preserve">Dividend resilience</w:t>
            </w:r>
          </w:p>
        </w:tc>
        <w:tc>
          <w:tcPr>
            <w:tcW w:type="dxa" w:w="840"/>
            <w:tcBorders>
              <w:top w:val="single" w:color="CCCCCC" w:sz="1"/>
              <w:left w:val="single" w:color="CCCCCC" w:sz="1"/>
              <w:bottom w:val="single" w:color="CCCCCC" w:sz="1"/>
              <w:right w:val="single" w:color="CCCCCC" w:sz="1"/>
            </w:tcBorders>
            <w:shd w:fill="375623" w:val="clear"/>
            <w:tcMar>
              <w:top w:type="dxa" w:w="60"/>
              <w:left w:type="dxa" w:w="110"/>
              <w:bottom w:type="dxa" w:w="60"/>
              <w:right w:type="dxa" w:w="110"/>
            </w:tcMar>
          </w:tcPr>
          <w:p>
            <w:pPr>
              <w:spacing w:after="0" w:line="248"/>
              <w:jc w:val="center"/>
            </w:pPr>
            <w:r>
              <w:rPr>
                <w:rFonts w:ascii="Arial" w:cs="Arial" w:eastAsia="Arial" w:hAnsi="Arial"/>
                <w:b/>
                <w:bCs/>
                <w:color w:val="FFFFFF"/>
                <w:sz w:val="19"/>
                <w:szCs w:val="19"/>
              </w:rPr>
              <w:t xml:space="preserve">5</w:t>
            </w:r>
          </w:p>
        </w:tc>
        <w:tc>
          <w:tcPr>
            <w:tcW w:type="dxa" w:w="840"/>
            <w:tcBorders>
              <w:top w:val="single" w:color="CCCCCC" w:sz="1"/>
              <w:left w:val="single" w:color="CCCCCC" w:sz="1"/>
              <w:bottom w:val="single" w:color="CCCCCC" w:sz="1"/>
              <w:right w:val="single" w:color="CCCCCC" w:sz="1"/>
            </w:tcBorders>
            <w:shd w:fill="C00000" w:val="clear"/>
            <w:tcMar>
              <w:top w:type="dxa" w:w="60"/>
              <w:left w:type="dxa" w:w="110"/>
              <w:bottom w:type="dxa" w:w="60"/>
              <w:right w:type="dxa" w:w="110"/>
            </w:tcMar>
          </w:tcPr>
          <w:p>
            <w:pPr>
              <w:spacing w:after="0" w:line="248"/>
              <w:jc w:val="center"/>
            </w:pPr>
            <w:r>
              <w:rPr>
                <w:rFonts w:ascii="Arial" w:cs="Arial" w:eastAsia="Arial" w:hAnsi="Arial"/>
                <w:b/>
                <w:bCs/>
                <w:color w:val="FFFFFF"/>
                <w:sz w:val="19"/>
                <w:szCs w:val="19"/>
              </w:rPr>
              <w:t xml:space="preserve">1</w:t>
            </w:r>
          </w:p>
        </w:tc>
        <w:tc>
          <w:tcPr>
            <w:tcW w:type="dxa" w:w="4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8"/>
            </w:pPr>
            <w:r>
              <w:rPr>
                <w:rFonts w:ascii="Arial" w:cs="Arial" w:eastAsia="Arial" w:hAnsi="Arial"/>
                <w:sz w:val="19"/>
                <w:szCs w:val="19"/>
              </w:rPr>
              <w:t xml:space="preserve">SHP 781c at 1.75x cover; SPAR nil for two years, no timeline.</w:t>
            </w:r>
          </w:p>
        </w:tc>
      </w:tr>
      <w:tr>
        <w:tc>
          <w:tcPr>
            <w:tcW w:type="dxa" w:w="286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pPr>
              <w:spacing w:after="0" w:line="248"/>
            </w:pPr>
            <w:r>
              <w:rPr>
                <w:rFonts w:ascii="Arial" w:cs="Arial" w:eastAsia="Arial" w:hAnsi="Arial"/>
                <w:b/>
                <w:bCs/>
                <w:sz w:val="19"/>
                <w:szCs w:val="19"/>
              </w:rPr>
              <w:t xml:space="preserve">Valuation cushion</w:t>
            </w:r>
          </w:p>
        </w:tc>
        <w:tc>
          <w:tcPr>
            <w:tcW w:type="dxa" w:w="840"/>
            <w:tcBorders>
              <w:top w:val="single" w:color="CCCCCC" w:sz="1"/>
              <w:left w:val="single" w:color="CCCCCC" w:sz="1"/>
              <w:bottom w:val="single" w:color="CCCCCC" w:sz="1"/>
              <w:right w:val="single" w:color="CCCCCC" w:sz="1"/>
            </w:tcBorders>
            <w:shd w:fill="BF8F00" w:val="clear"/>
            <w:tcMar>
              <w:top w:type="dxa" w:w="60"/>
              <w:left w:type="dxa" w:w="110"/>
              <w:bottom w:type="dxa" w:w="60"/>
              <w:right w:type="dxa" w:w="110"/>
            </w:tcMar>
          </w:tcPr>
          <w:p>
            <w:pPr>
              <w:spacing w:after="0" w:line="248"/>
              <w:jc w:val="center"/>
            </w:pPr>
            <w:r>
              <w:rPr>
                <w:rFonts w:ascii="Arial" w:cs="Arial" w:eastAsia="Arial" w:hAnsi="Arial"/>
                <w:b/>
                <w:bCs/>
                <w:color w:val="FFFFFF"/>
                <w:sz w:val="19"/>
                <w:szCs w:val="19"/>
              </w:rPr>
              <w:t xml:space="preserve">3</w:t>
            </w:r>
          </w:p>
        </w:tc>
        <w:tc>
          <w:tcPr>
            <w:tcW w:type="dxa" w:w="840"/>
            <w:tcBorders>
              <w:top w:val="single" w:color="CCCCCC" w:sz="1"/>
              <w:left w:val="single" w:color="CCCCCC" w:sz="1"/>
              <w:bottom w:val="single" w:color="CCCCCC" w:sz="1"/>
              <w:right w:val="single" w:color="CCCCCC" w:sz="1"/>
            </w:tcBorders>
            <w:shd w:fill="BF8F00" w:val="clear"/>
            <w:tcMar>
              <w:top w:type="dxa" w:w="60"/>
              <w:left w:type="dxa" w:w="110"/>
              <w:bottom w:type="dxa" w:w="60"/>
              <w:right w:type="dxa" w:w="110"/>
            </w:tcMar>
          </w:tcPr>
          <w:p>
            <w:pPr>
              <w:spacing w:after="0" w:line="248"/>
              <w:jc w:val="center"/>
            </w:pPr>
            <w:r>
              <w:rPr>
                <w:rFonts w:ascii="Arial" w:cs="Arial" w:eastAsia="Arial" w:hAnsi="Arial"/>
                <w:b/>
                <w:bCs/>
                <w:color w:val="FFFFFF"/>
                <w:sz w:val="19"/>
                <w:szCs w:val="19"/>
              </w:rPr>
              <w:t xml:space="preserve">3</w:t>
            </w:r>
          </w:p>
        </w:tc>
        <w:tc>
          <w:tcPr>
            <w:tcW w:type="dxa" w:w="4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8"/>
            </w:pPr>
            <w:r>
              <w:rPr>
                <w:rFonts w:ascii="Arial" w:cs="Arial" w:eastAsia="Arial" w:hAnsi="Arial"/>
                <w:sz w:val="19"/>
                <w:szCs w:val="19"/>
              </w:rPr>
              <w:t xml:space="preserve">SHP premium ~20x (de-rating risk); SPAR cheap but value-trap risk until turnaround proves out.</w:t>
            </w:r>
          </w:p>
        </w:tc>
      </w:tr>
      <w:tr>
        <w:tc>
          <w:tcPr>
            <w:tcW w:type="dxa" w:w="286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tcPr>
          <w:p>
            <w:pPr>
              <w:spacing w:after="0" w:line="248"/>
            </w:pPr>
            <w:r>
              <w:rPr>
                <w:rFonts w:ascii="Arial" w:cs="Arial" w:eastAsia="Arial" w:hAnsi="Arial"/>
                <w:b/>
                <w:bCs/>
                <w:color w:val="FFFFFF"/>
                <w:sz w:val="19"/>
                <w:szCs w:val="19"/>
              </w:rPr>
              <w:t xml:space="preserve">AVERAGE</w:t>
            </w:r>
          </w:p>
        </w:tc>
        <w:tc>
          <w:tcPr>
            <w:tcW w:type="dxa" w:w="840"/>
            <w:tcBorders>
              <w:top w:val="single" w:color="CCCCCC" w:sz="1"/>
              <w:left w:val="single" w:color="CCCCCC" w:sz="1"/>
              <w:bottom w:val="single" w:color="CCCCCC" w:sz="1"/>
              <w:right w:val="single" w:color="CCCCCC" w:sz="1"/>
            </w:tcBorders>
            <w:shd w:fill="2E5496" w:val="clear"/>
            <w:tcMar>
              <w:top w:type="dxa" w:w="60"/>
              <w:left w:type="dxa" w:w="110"/>
              <w:bottom w:type="dxa" w:w="60"/>
              <w:right w:type="dxa" w:w="110"/>
            </w:tcMar>
          </w:tcPr>
          <w:p>
            <w:pPr>
              <w:spacing w:after="0" w:line="248"/>
              <w:jc w:val="center"/>
            </w:pPr>
            <w:r>
              <w:rPr>
                <w:rFonts w:ascii="Arial" w:cs="Arial" w:eastAsia="Arial" w:hAnsi="Arial"/>
                <w:b/>
                <w:bCs/>
                <w:color w:val="FFFFFF"/>
                <w:sz w:val="19"/>
                <w:szCs w:val="19"/>
              </w:rPr>
              <w:t xml:space="preserve">4.3</w:t>
            </w:r>
          </w:p>
        </w:tc>
        <w:tc>
          <w:tcPr>
            <w:tcW w:type="dxa" w:w="840"/>
            <w:tcBorders>
              <w:top w:val="single" w:color="CCCCCC" w:sz="1"/>
              <w:left w:val="single" w:color="CCCCCC" w:sz="1"/>
              <w:bottom w:val="single" w:color="CCCCCC" w:sz="1"/>
              <w:right w:val="single" w:color="CCCCCC" w:sz="1"/>
            </w:tcBorders>
            <w:shd w:fill="375623" w:val="clear"/>
            <w:tcMar>
              <w:top w:type="dxa" w:w="60"/>
              <w:left w:type="dxa" w:w="110"/>
              <w:bottom w:type="dxa" w:w="60"/>
              <w:right w:type="dxa" w:w="110"/>
            </w:tcMar>
          </w:tcPr>
          <w:p>
            <w:pPr>
              <w:spacing w:after="0" w:line="248"/>
              <w:jc w:val="center"/>
            </w:pPr>
            <w:r>
              <w:rPr>
                <w:rFonts w:ascii="Arial" w:cs="Arial" w:eastAsia="Arial" w:hAnsi="Arial"/>
                <w:b/>
                <w:bCs/>
                <w:color w:val="FFFFFF"/>
                <w:sz w:val="19"/>
                <w:szCs w:val="19"/>
              </w:rPr>
              <w:t xml:space="preserve">2.1</w:t>
            </w:r>
          </w:p>
        </w:tc>
        <w:tc>
          <w:tcPr>
            <w:tcW w:type="dxa" w:w="4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8"/>
            </w:pPr>
            <w:r>
              <w:rPr>
                <w:rFonts w:ascii="Arial" w:cs="Arial" w:eastAsia="Arial" w:hAnsi="Arial"/>
                <w:i/>
                <w:iCs/>
                <w:sz w:val="19"/>
                <w:szCs w:val="19"/>
              </w:rPr>
              <w:t xml:space="preserve">Shoprite scores higher on every structural axis except FX.</w:t>
            </w:r>
          </w:p>
        </w:tc>
      </w:tr>
    </w:tbl>
    <w:p>
      <w:pPr>
        <w:spacing w:after="40" w:before="0" w:line="264"/>
      </w:pPr>
      <w:r>
        <w:rPr>
          <w:rFonts w:ascii="Arial" w:cs="Arial" w:eastAsia="Arial" w:hAnsi="Arial"/>
          <w:sz w:val="21"/>
          <w:szCs w:val="21"/>
        </w:rPr>
        <w:t xml:space="preserve"/>
      </w:r>
    </w:p>
    <w:p>
      <w:pPr>
        <w:shd w:fill="FFF7E0" w:val="clear"/>
        <w:spacing w:after="160" w:before="120" w:line="264"/>
      </w:pPr>
      <w:r>
        <w:rPr>
          <w:rFonts w:ascii="Arial" w:cs="Arial" w:eastAsia="Arial" w:hAnsi="Arial"/>
          <w:b/>
          <w:bCs/>
          <w:sz w:val="21"/>
          <w:szCs w:val="21"/>
        </w:rPr>
        <w:t xml:space="preserve">Verdict.  </w:t>
      </w:r>
      <w:r>
        <w:rPr>
          <w:rFonts w:ascii="Arial" w:cs="Arial" w:eastAsia="Arial" w:hAnsi="Arial"/>
          <w:sz w:val="21"/>
          <w:szCs w:val="21"/>
        </w:rPr>
        <w:t xml:space="preserve">Shoprite is the more resilient business on every structural axis except FX, where SPAR's euro (Ireland) exposure is a genuine rand hedge. In Scenario B the defensive case for Shoprite is at its strongest while SPAR's fragilities compound; in Scenario A both recover, with SPAR offering more torque but only if execution delivers alongside the macro. For weathering financial uncertainty, Shoprite is the clear choice; SPAR is a leveraged recovery option, not a safe harbour.</w:t>
      </w:r>
    </w:p>
    <w:p>
      <w:pPr>
        <w:pStyle w:val="Heading1"/>
        <w:spacing w:after="120" w:before="240"/>
      </w:pPr>
      <w:r>
        <w:rPr>
          <w:rFonts w:ascii="Arial" w:cs="Arial" w:eastAsia="Arial" w:hAnsi="Arial"/>
        </w:rPr>
        <w:t xml:space="preserve">7.  Risks &amp; nuances</w:t>
      </w:r>
    </w:p>
    <w:p>
      <w:pPr>
        <w:pStyle w:val="ListParagraph"/>
        <w:numPr>
          <w:ilvl w:val="0"/>
          <w:numId w:val="2"/>
        </w:numPr>
        <w:spacing w:after="80" w:line="264"/>
      </w:pPr>
      <w:r>
        <w:rPr>
          <w:rFonts w:ascii="Arial" w:cs="Arial" w:eastAsia="Arial" w:hAnsi="Arial"/>
          <w:sz w:val="21"/>
          <w:szCs w:val="21"/>
        </w:rPr>
        <w:t xml:space="preserve">Shoprite's real internal swing is margin-versus-share: it is already cutting price to win share, and in Scenario B that trade-off intensifies. At ~20x earnings it is also exposed to de-rating if growth stalls (B) or if money rotates to cheaper cyclicals (A).</w:t>
      </w:r>
    </w:p>
    <w:p>
      <w:pPr>
        <w:pStyle w:val="ListParagraph"/>
        <w:numPr>
          <w:ilvl w:val="0"/>
          <w:numId w:val="2"/>
        </w:numPr>
        <w:spacing w:after="80" w:line="264"/>
      </w:pPr>
      <w:r>
        <w:rPr>
          <w:rFonts w:ascii="Arial" w:cs="Arial" w:eastAsia="Arial" w:hAnsi="Arial"/>
          <w:sz w:val="21"/>
          <w:szCs w:val="21"/>
        </w:rPr>
        <w:t xml:space="preserve">Shoprite's defensiveness is partial, not absolute — a deep SA recession with the repo at 8%+ could overwhelm even trade-down and non-discretionary demand. It cushions an oil-shock drawdown; it does not fully escape one.</w:t>
      </w:r>
    </w:p>
    <w:p>
      <w:pPr>
        <w:pStyle w:val="ListParagraph"/>
        <w:numPr>
          <w:ilvl w:val="0"/>
          <w:numId w:val="2"/>
        </w:numPr>
        <w:spacing w:after="80" w:line="264"/>
      </w:pPr>
      <w:r>
        <w:rPr>
          <w:rFonts w:ascii="Arial" w:cs="Arial" w:eastAsia="Arial" w:hAnsi="Arial"/>
          <w:sz w:val="21"/>
          <w:szCs w:val="21"/>
        </w:rPr>
        <w:t xml:space="preserve">SPAR's covenants were met at H1 and net debt should unwind seasonally into H2 — the balance sheet is repairing, just slowly. But a sustained high-rate, high-fuel world is the specific macro that most directly attacks that repair.</w:t>
      </w:r>
    </w:p>
    <w:p>
      <w:pPr>
        <w:pStyle w:val="ListParagraph"/>
        <w:numPr>
          <w:ilvl w:val="0"/>
          <w:numId w:val="2"/>
        </w:numPr>
        <w:spacing w:after="80" w:line="264"/>
      </w:pPr>
      <w:r>
        <w:rPr>
          <w:rFonts w:ascii="Arial" w:cs="Arial" w:eastAsia="Arial" w:hAnsi="Arial"/>
          <w:sz w:val="21"/>
          <w:szCs w:val="21"/>
        </w:rPr>
        <w:t xml:space="preserve">SPAR's turnaround is real but early: three consecutive profitable months at KZN (Feb–Apr 2026) and a signed UK (AWG) disposal are genuine progress. The risk is execution under a brand-new C-suite while the macro is hostile.</w:t>
      </w:r>
    </w:p>
    <w:p>
      <w:pPr>
        <w:pStyle w:val="ListParagraph"/>
        <w:numPr>
          <w:ilvl w:val="0"/>
          <w:numId w:val="2"/>
        </w:numPr>
        <w:spacing w:after="80" w:line="264"/>
      </w:pPr>
      <w:r>
        <w:rPr>
          <w:rFonts w:ascii="Arial" w:cs="Arial" w:eastAsia="Arial" w:hAnsi="Arial"/>
          <w:sz w:val="21"/>
          <w:szCs w:val="21"/>
        </w:rPr>
        <w:t xml:space="preserve">Near-term fuel nuance: diesel actually eased at the June 2026 pump on levy/slate timing even with Brent elevated, so the distribution-cost hit in Scenario B is real but back-loaded for both.</w:t>
      </w:r>
    </w:p>
    <w:p>
      <w:pPr>
        <w:pStyle w:val="Heading1"/>
        <w:spacing w:after="120" w:before="240"/>
      </w:pPr>
      <w:r>
        <w:rPr>
          <w:rFonts w:ascii="Arial" w:cs="Arial" w:eastAsia="Arial" w:hAnsi="Arial"/>
        </w:rPr>
        <w:t xml:space="preserve">8.  What to watch</w:t>
      </w:r>
    </w:p>
    <w:p>
      <w:pPr>
        <w:pStyle w:val="ListParagraph"/>
        <w:numPr>
          <w:ilvl w:val="0"/>
          <w:numId w:val="2"/>
        </w:numPr>
        <w:spacing w:after="80" w:line="264"/>
      </w:pPr>
      <w:r>
        <w:rPr>
          <w:rFonts w:ascii="Arial" w:cs="Arial" w:eastAsia="Arial" w:hAnsi="Arial"/>
          <w:sz w:val="21"/>
          <w:szCs w:val="21"/>
        </w:rPr>
        <w:t xml:space="preserve">Strait-of-Hormuz status and Brent crude — the master switch for the whole chain (closed ~108 days as at 17 Jun 2026; Brent ~$79–81 as reopening is priced in).</w:t>
      </w:r>
    </w:p>
    <w:p>
      <w:pPr>
        <w:pStyle w:val="ListParagraph"/>
        <w:numPr>
          <w:ilvl w:val="0"/>
          <w:numId w:val="2"/>
        </w:numPr>
        <w:spacing w:after="80" w:line="264"/>
      </w:pPr>
      <w:r>
        <w:rPr>
          <w:rFonts w:ascii="Arial" w:cs="Arial" w:eastAsia="Arial" w:hAnsi="Arial"/>
          <w:sz w:val="21"/>
          <w:szCs w:val="21"/>
        </w:rPr>
        <w:t xml:space="preserve">SA monthly fuel-price announcements — petrol (both retailers' consumer) and diesel (each group's own cost; larger for SPAR).</w:t>
      </w:r>
    </w:p>
    <w:p>
      <w:pPr>
        <w:pStyle w:val="ListParagraph"/>
        <w:numPr>
          <w:ilvl w:val="0"/>
          <w:numId w:val="2"/>
        </w:numPr>
        <w:spacing w:after="80" w:line="264"/>
      </w:pPr>
      <w:r>
        <w:rPr>
          <w:rFonts w:ascii="Arial" w:cs="Arial" w:eastAsia="Arial" w:hAnsi="Arial"/>
          <w:sz w:val="21"/>
          <w:szCs w:val="21"/>
        </w:rPr>
        <w:t xml:space="preserve">SARB MPC path between the ~6.67% and ~8.17% end-2026 scenarios — the rate channel hits SPAR's de-gearing hardest.</w:t>
      </w:r>
    </w:p>
    <w:p>
      <w:pPr>
        <w:pStyle w:val="ListParagraph"/>
        <w:numPr>
          <w:ilvl w:val="0"/>
          <w:numId w:val="2"/>
        </w:numPr>
        <w:spacing w:after="80" w:line="264"/>
      </w:pPr>
      <w:r>
        <w:rPr>
          <w:rFonts w:ascii="Arial" w:cs="Arial" w:eastAsia="Arial" w:hAnsi="Arial"/>
          <w:sz w:val="21"/>
          <w:szCs w:val="21"/>
        </w:rPr>
        <w:t xml:space="preserve">Shoprite gross/trading margin and the like-for-like price/volume split — the price-investment intensity that decides margin-versus-share.</w:t>
      </w:r>
    </w:p>
    <w:p>
      <w:pPr>
        <w:pStyle w:val="ListParagraph"/>
        <w:numPr>
          <w:ilvl w:val="0"/>
          <w:numId w:val="2"/>
        </w:numPr>
        <w:spacing w:after="80" w:line="264"/>
      </w:pPr>
      <w:r>
        <w:rPr>
          <w:rFonts w:ascii="Arial" w:cs="Arial" w:eastAsia="Arial" w:hAnsi="Arial"/>
          <w:sz w:val="21"/>
          <w:szCs w:val="21"/>
        </w:rPr>
        <w:t xml:space="preserve">SPAR: KZN distribution-centre margin recovery, the SAP rollout, the net-debt/leverage trajectory, retailer loyalty (78.6%), debtor impairments, and any signal on dividend resumption.</w:t>
      </w:r>
    </w:p>
    <w:p>
      <w:pPr>
        <w:pStyle w:val="ListParagraph"/>
        <w:numPr>
          <w:ilvl w:val="0"/>
          <w:numId w:val="2"/>
        </w:numPr>
        <w:spacing w:after="80" w:line="264"/>
      </w:pPr>
      <w:r>
        <w:rPr>
          <w:rFonts w:ascii="Arial" w:cs="Arial" w:eastAsia="Arial" w:hAnsi="Arial"/>
          <w:sz w:val="21"/>
          <w:szCs w:val="21"/>
        </w:rPr>
        <w:t xml:space="preserve">Next hard reads: Shoprite FY2026 results (~early Sept 2026); SPAR FY2026 results (Dec 2026).</w:t>
      </w:r>
    </w:p>
    <w:p>
      <w:pPr>
        <w:pStyle w:val="Heading1"/>
        <w:spacing w:after="120" w:before="240"/>
      </w:pPr>
      <w:r>
        <w:rPr>
          <w:rFonts w:ascii="Arial" w:cs="Arial" w:eastAsia="Arial" w:hAnsi="Arial"/>
        </w:rPr>
        <w:t xml:space="preserve">9.  Sources &amp; provenance</w:t>
      </w:r>
    </w:p>
    <w:p>
      <w:pPr>
        <w:spacing w:after="60" w:before="0" w:line="264"/>
      </w:pPr>
      <w:r>
        <w:rPr>
          <w:rFonts w:ascii="Arial" w:cs="Arial" w:eastAsia="Arial" w:hAnsi="Arial"/>
          <w:sz w:val="21"/>
          <w:szCs w:val="21"/>
        </w:rPr>
        <w:t xml:space="preserve">Company filings (held locally):</w:t>
      </w:r>
    </w:p>
    <w:p>
      <w:pPr>
        <w:pStyle w:val="ListParagraph"/>
        <w:numPr>
          <w:ilvl w:val="0"/>
          <w:numId w:val="2"/>
        </w:numPr>
        <w:spacing w:after="80" w:line="264"/>
      </w:pPr>
      <w:r>
        <w:rPr>
          <w:rFonts w:ascii="Arial" w:cs="Arial" w:eastAsia="Arial" w:hAnsi="Arial"/>
          <w:sz w:val="21"/>
          <w:szCs w:val="21"/>
        </w:rPr>
        <w:t xml:space="preserve">SH1 — Shoprite Holdings reviewed results, 52 weeks ended 29 June 2025 (FY2024 restated for IFRS 5). Plus H1 FY2026 trading update (public SENS).</w:t>
      </w:r>
    </w:p>
    <w:p>
      <w:pPr>
        <w:pStyle w:val="ListParagraph"/>
        <w:numPr>
          <w:ilvl w:val="0"/>
          <w:numId w:val="2"/>
        </w:numPr>
        <w:spacing w:after="80" w:line="264"/>
      </w:pPr>
      <w:r>
        <w:rPr>
          <w:rFonts w:ascii="Arial" w:cs="Arial" w:eastAsia="Arial" w:hAnsi="Arial"/>
          <w:sz w:val="21"/>
          <w:szCs w:val="21"/>
        </w:rPr>
        <w:t xml:space="preserve">SP1 — The SPAR Group audited group results, 52 weeks ended 26 September 2025 (SENS, 8 December 2025).</w:t>
      </w:r>
    </w:p>
    <w:p>
      <w:pPr>
        <w:pStyle w:val="ListParagraph"/>
        <w:numPr>
          <w:ilvl w:val="0"/>
          <w:numId w:val="2"/>
        </w:numPr>
        <w:spacing w:after="80" w:line="264"/>
      </w:pPr>
      <w:r>
        <w:rPr>
          <w:rFonts w:ascii="Arial" w:cs="Arial" w:eastAsia="Arial" w:hAnsi="Arial"/>
          <w:sz w:val="21"/>
          <w:szCs w:val="21"/>
        </w:rPr>
        <w:t xml:space="preserve">SP2 — The SPAR Group H1 FY2026 trading statement (SENS, 29 May 2026) and full interim results published 10 June 2026 (continuing HEPS 199.9c, −55.5%; operating margin 1.1%; no dividend).</w:t>
      </w:r>
    </w:p>
    <w:p>
      <w:pPr>
        <w:spacing w:after="60" w:before="80" w:line="264"/>
      </w:pPr>
      <w:r>
        <w:rPr>
          <w:rFonts w:ascii="Arial" w:cs="Arial" w:eastAsia="Arial" w:hAnsi="Arial"/>
          <w:sz w:val="21"/>
          <w:szCs w:val="21"/>
        </w:rPr>
        <w:t xml:space="preserve">External (web search, 17 June 2026 — may be delayed/secondary):</w:t>
      </w:r>
    </w:p>
    <w:p>
      <w:pPr>
        <w:pStyle w:val="ListParagraph"/>
        <w:numPr>
          <w:ilvl w:val="0"/>
          <w:numId w:val="2"/>
        </w:numPr>
        <w:spacing w:after="80" w:line="264"/>
      </w:pPr>
      <w:r>
        <w:rPr>
          <w:rFonts w:ascii="Arial" w:cs="Arial" w:eastAsia="Arial" w:hAnsi="Arial"/>
          <w:sz w:val="21"/>
          <w:szCs w:val="21"/>
        </w:rPr>
        <w:t xml:space="preserve">Strait of Hormuz status / shipping — </w:t>
      </w:r>
      <w:hyperlink w:history="1" r:id="rIddpha80tkqtgpnl5qlxc1i">
        <w:r>
          <w:rPr>
            <w:rStyle w:val="Hyperlink"/>
            <w:rFonts w:ascii="Arial" w:cs="Arial" w:eastAsia="Arial" w:hAnsi="Arial"/>
            <w:sz w:val="21"/>
            <w:szCs w:val="21"/>
          </w:rPr>
          <w:t xml:space="preserve">Bloomberg</w:t>
        </w:r>
      </w:hyperlink>
      <w:r>
        <w:rPr>
          <w:rFonts w:ascii="Arial" w:cs="Arial" w:eastAsia="Arial" w:hAnsi="Arial"/>
          <w:sz w:val="21"/>
          <w:szCs w:val="21"/>
        </w:rPr>
        <w:t xml:space="preserve"> ; </w:t>
      </w:r>
      <w:hyperlink w:history="1" r:id="rIdq1oufzco2e2hsnjawydea">
        <w:r>
          <w:rPr>
            <w:rStyle w:val="Hyperlink"/>
            <w:rFonts w:ascii="Arial" w:cs="Arial" w:eastAsia="Arial" w:hAnsi="Arial"/>
            <w:sz w:val="21"/>
            <w:szCs w:val="21"/>
          </w:rPr>
          <w:t xml:space="preserve">Al Jazeera</w:t>
        </w:r>
      </w:hyperlink>
    </w:p>
    <w:p>
      <w:pPr>
        <w:pStyle w:val="ListParagraph"/>
        <w:numPr>
          <w:ilvl w:val="0"/>
          <w:numId w:val="2"/>
        </w:numPr>
        <w:spacing w:after="80" w:line="264"/>
      </w:pPr>
      <w:r>
        <w:rPr>
          <w:rFonts w:ascii="Arial" w:cs="Arial" w:eastAsia="Arial" w:hAnsi="Arial"/>
          <w:sz w:val="21"/>
          <w:szCs w:val="21"/>
        </w:rPr>
        <w:t xml:space="preserve">Brent crude price (17 Jun 2026) — </w:t>
      </w:r>
      <w:hyperlink w:history="1" r:id="rIdcrfg-ixb15jockvac8i7m">
        <w:r>
          <w:rPr>
            <w:rStyle w:val="Hyperlink"/>
            <w:rFonts w:ascii="Arial" w:cs="Arial" w:eastAsia="Arial" w:hAnsi="Arial"/>
            <w:sz w:val="21"/>
            <w:szCs w:val="21"/>
          </w:rPr>
          <w:t xml:space="preserve">Fortune</w:t>
        </w:r>
      </w:hyperlink>
    </w:p>
    <w:p>
      <w:pPr>
        <w:pStyle w:val="ListParagraph"/>
        <w:numPr>
          <w:ilvl w:val="0"/>
          <w:numId w:val="2"/>
        </w:numPr>
        <w:spacing w:after="80" w:line="264"/>
      </w:pPr>
      <w:r>
        <w:rPr>
          <w:rFonts w:ascii="Arial" w:cs="Arial" w:eastAsia="Arial" w:hAnsi="Arial"/>
          <w:sz w:val="21"/>
          <w:szCs w:val="21"/>
        </w:rPr>
        <w:t xml:space="preserve">SPAR H1 FY2026 results — </w:t>
      </w:r>
      <w:hyperlink w:history="1" r:id="rIdj2ka9jwyd5nn3txchopr9">
        <w:r>
          <w:rPr>
            <w:rStyle w:val="Hyperlink"/>
            <w:rFonts w:ascii="Arial" w:cs="Arial" w:eastAsia="Arial" w:hAnsi="Arial"/>
            <w:sz w:val="21"/>
            <w:szCs w:val="21"/>
          </w:rPr>
          <w:t xml:space="preserve">Moneyweb</w:t>
        </w:r>
      </w:hyperlink>
    </w:p>
    <w:p>
      <w:pPr>
        <w:pStyle w:val="ListParagraph"/>
        <w:numPr>
          <w:ilvl w:val="0"/>
          <w:numId w:val="2"/>
        </w:numPr>
        <w:spacing w:after="80" w:line="264"/>
      </w:pPr>
      <w:r>
        <w:rPr>
          <w:rFonts w:ascii="Arial" w:cs="Arial" w:eastAsia="Arial" w:hAnsi="Arial"/>
          <w:sz w:val="21"/>
          <w:szCs w:val="21"/>
        </w:rPr>
        <w:t xml:space="preserve">Shoprite share price / valuation — </w:t>
      </w:r>
      <w:hyperlink w:history="1" r:id="rIdb9pb5ettv5i6eos0a8yyr">
        <w:r>
          <w:rPr>
            <w:rStyle w:val="Hyperlink"/>
            <w:rFonts w:ascii="Arial" w:cs="Arial" w:eastAsia="Arial" w:hAnsi="Arial"/>
            <w:sz w:val="21"/>
            <w:szCs w:val="21"/>
          </w:rPr>
          <w:t xml:space="preserve">Moneyweb Click-a-Company</w:t>
        </w:r>
      </w:hyperlink>
    </w:p>
    <w:p>
      <w:pPr>
        <w:spacing w:after="120" w:before="120" w:line="264"/>
      </w:pPr>
      <w:r>
        <w:rPr>
          <w:rFonts w:ascii="Arial" w:cs="Arial" w:eastAsia="Arial" w:hAnsi="Arial"/>
          <w:i/>
          <w:iCs/>
          <w:sz w:val="16"/>
          <w:szCs w:val="16"/>
        </w:rPr>
        <w:t xml:space="preserve">For informational purposes only — not investment advice; prepared by internal research from public disclosures. Both companies report in ZAR. SHP FY2025 figures are reviewed (not audited); SPP FY2025 is audited. Forward figures and the scenario levels are analyst estimates, not company guidance. Share/commodity prices via web search may be delayed — there is no live JSE feed here. Confirm the fund's dealing-period status before acting.</w:t>
      </w:r>
    </w:p>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4"/>
        <w:szCs w:val="14"/>
      </w:rPr>
      <w:t xml:space="preserve">Shoprite vs The SPAR Group — Hormuz Scenario Outlook  •  17 June 2026  •  Internal research, not investment advice  •  Page </w:t>
    </w:r>
    <w:r>
      <w:rPr>
        <w:rFonts w:ascii="Arial" w:cs="Arial" w:eastAsia="Arial" w:hAnsi="Arial"/>
        <w:color w:val="80808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26"/>
      <w:szCs w:val="26"/>
    </w:rPr>
  </w:style>
  <w:style w:type="paragraph" w:styleId="Heading2">
    <w:name w:val="Heading 2"/>
    <w:basedOn w:val="Normal"/>
    <w:next w:val="Normal"/>
    <w:qFormat/>
    <w:pPr>
      <w:spacing w:after="80" w:before="160"/>
      <w:outlineLvl w:val="1"/>
    </w:pPr>
    <w:rPr>
      <w:rFonts w:ascii="Arial" w:cs="Arial" w:eastAsia="Arial" w:hAnsi="Arial"/>
      <w:b/>
      <w:bCs/>
      <w:color w:val="2E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dpha80tkqtgpnl5qlxc1i" Type="http://schemas.openxmlformats.org/officeDocument/2006/relationships/hyperlink" Target="https://www.bloomberg.com/news/articles/2026-06-16/why-restoring-strait-of-hormuz-shipping-traffic-won-t-be-easy" TargetMode="External"/><Relationship Id="rIdq1oufzco2e2hsnjawydea" Type="http://schemas.openxmlformats.org/officeDocument/2006/relationships/hyperlink" Target="https://www.aljazeera.com/features/2026/6/17/strait-of-hormuz-reopens-how-will-safe-passage-for-ships-be-ensured" TargetMode="External"/><Relationship Id="rIdcrfg-ixb15jockvac8i7m" Type="http://schemas.openxmlformats.org/officeDocument/2006/relationships/hyperlink" Target="https://fortune.com/article/price-of-oil-06-17-2026/" TargetMode="External"/><Relationship Id="rIdj2ka9jwyd5nn3txchopr9" Type="http://schemas.openxmlformats.org/officeDocument/2006/relationships/hyperlink" Target="https://www.moneyweb.co.za/news/companies-and-deals/spar-ceo-confronts-execution-problems-as-profits-tumble/" TargetMode="External"/><Relationship Id="rIdb9pb5ettv5i6eos0a8yyr" Type="http://schemas.openxmlformats.org/officeDocument/2006/relationships/hyperlink" Target="https://www.moneyweb.co.za/tools-and-data/click-a-company/SHP/"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JSE Equity Research (Cowork)</dc:creator>
  <cp:lastModifiedBy>Un-named</cp:lastModifiedBy>
  <cp:revision>1</cp:revision>
  <dcterms:created xsi:type="dcterms:W3CDTF">2026-06-17T20:28:01.985Z</dcterms:created>
  <dcterms:modified xsi:type="dcterms:W3CDTF">2026-06-17T20:28:01.986Z</dcterms:modified>
</cp:coreProperties>
</file>

<file path=docProps/custom.xml><?xml version="1.0" encoding="utf-8"?>
<Properties xmlns="http://schemas.openxmlformats.org/officeDocument/2006/custom-properties" xmlns:vt="http://schemas.openxmlformats.org/officeDocument/2006/docPropsVTypes"/>
</file>