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CLICKS GROUP LIMITED</w:t>
      </w:r>
    </w:p>
    <w:p>
      <w:pPr>
        <w:spacing w:after="20"/>
      </w:pPr>
      <w:r>
        <w:rPr>
          <w:color w:val="595959"/>
          <w:sz w:val="18"/>
          <w:szCs w:val="18"/>
        </w:rPr>
        <w:t xml:space="preserve">JSE: CLS  •  SA’s largest health, wellness &amp; beauty retailer + UPD pharmaceutical distribution</w:t>
      </w:r>
    </w:p>
    <w:p>
      <w:pPr>
        <w:spacing w:after="160"/>
      </w:pPr>
      <w:r>
        <w:rPr>
          <w:color w:val="595959"/>
          <w:sz w:val="18"/>
          <w:szCs w:val="18"/>
        </w:rPr>
        <w:t xml:space="preserve">Reports in ZAR  •  Financial year-end 31 August  •  IFRS / King IV / JSE Listings Requirements</w:t>
      </w:r>
    </w:p>
    <w:p>
      <w:pPr>
        <w:spacing w:after="40"/>
      </w:pPr>
      <w:r>
        <w:rPr>
          <w:b/>
          <w:bCs/>
          <w:color w:val="2E75B6"/>
          <w:sz w:val="26"/>
          <w:szCs w:val="26"/>
        </w:rPr>
        <w:t xml:space="preserve">12–18 Month Outlook — Performance, Growth Indicators, Incentives &amp; Risks</w:t>
      </w:r>
    </w:p>
    <w:p>
      <w:pPr>
        <w:spacing w:after="60"/>
      </w:pPr>
      <w:r>
        <w:rPr>
          <w:i/>
          <w:iCs/>
          <w:color w:val="595959"/>
          <w:sz w:val="18"/>
          <w:szCs w:val="18"/>
        </w:rPr>
        <w:t xml:space="preserve">Investment Committee briefing  •  17 June 2026  •  Internal research, for information only — not investment advice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1"/>
      </w:pPr>
      <w:r>
        <w:t xml:space="preserve">1.  Executive summary</w:t>
      </w:r>
    </w:p>
    <w:p>
      <w:pPr>
        <w:spacing w:after="120" w:line="276"/>
      </w:pPr>
      <w:r>
        <w:rPr>
          <w:b/>
          <w:bCs/>
        </w:rPr>
        <w:t xml:space="preserve">The short answer.</w:t>
      </w:r>
      <w:r>
        <w:t xml:space="preserve"> Clicks is a high-quality, defensive compounder having a soft patch, not a structural one. Trading through a constrained SA consumer and a self-inflicted warehouse-system disruption, it still grew H1 FY2026 diluted HEPS +8.1% to 652.8c and lifted the interim dividend +8.4%. Management guides full-year FY2026 diluted HEPS growth of </w:t>
      </w:r>
      <w:r>
        <w:rPr>
          <w:b/>
          <w:bCs/>
        </w:rPr>
        <w:t xml:space="preserve">+4% to +9%</w:t>
      </w:r>
      <w:r>
        <w:t xml:space="preserve"> — a deliberately cautious range that assumes a tough H2, rising fuel and inflation, and no regulatory change. Over 12–18 months we see mid-to-high single-digit earnings growth as the realistic base case, with the rate of store and pharmacy rollout, the recovery of distribution (UPD) margin, and the SA consumer the three swing factors.</w:t>
      </w:r>
    </w:p>
    <w:p>
      <w:pPr>
        <w:spacing w:after="120" w:line="276"/>
      </w:pPr>
      <w:r>
        <w:rPr>
          <w:b/>
          <w:bCs/>
        </w:rPr>
        <w:t xml:space="preserve">Where it is today.</w:t>
      </w:r>
      <w:r>
        <w:t xml:space="preserve"> A return machine: FY2025 ROE 49.2%, ROIC (ex-IFRS 16) 47.0% — at or above the top of its own medium-term target bands — on a near net-cash retail balance sheet, funding ~R1.3bn of FY2026 capex and ~R2.3bn of shareholder returns (dividends + buybacks) in H1 alone. The franchise keeps taking share: retail pharmacy market share rose to 24.9% (from 24.2%), with leading positions in front-shop health, skincare and haircare.</w:t>
      </w:r>
    </w:p>
    <w:p>
      <w:pPr>
        <w:spacing w:after="120" w:line="276"/>
      </w:pPr>
      <w:r>
        <w:rPr>
          <w:b/>
          <w:bCs/>
        </w:rPr>
        <w:t xml:space="preserve">Incentives are well-aligned with per-share value, not top-line growth.</w:t>
      </w:r>
      <w:r>
        <w:t xml:space="preserve"> The annual bonus is gated on Return on Net Assets and trading profit (both must clear threshold), and the long-term plan is weighted 60% to ROIC and 40% to real (CPI-plus) diluted-HEPS growth, with malus/clawback, a 300%-of-pay CEO shareholding requirement, and 96% shareholder support. The one caveat is that incentives are cash-settled rather than equity-settled.</w:t>
      </w:r>
    </w:p>
    <w:p>
      <w:pPr>
        <w:spacing w:after="120" w:line="276"/>
      </w:pPr>
      <w:r>
        <w:rPr>
          <w:b/>
          <w:bCs/>
        </w:rPr>
        <w:t xml:space="preserve">The risks management itself flags</w:t>
      </w:r>
      <w:r>
        <w:t xml:space="preserve"> are dominated by the regulatory overhang (NHI, and a sharply lower 2026 medicine single-exit-price increase that squeezes distribution margin), a pressured SA consumer, IT/cyber resilience, multi-front competition (Dis-Chem, grocers, online), and execution on store/pharmacy-licence rollout. None threaten the going concern; they shape the pace, not the direction.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Direction of travel — 12–18 month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440"/>
        <w:gridCol w:w="2440"/>
        <w:gridCol w:w="2440"/>
      </w:tblGrid>
      <w:tr>
        <w:trPr>
          <w:tblHeader/>
        </w:trP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Bear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(most likely)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Bull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 consumer / rates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 rises further; fuel &amp; inflation bite; trade-down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Rates near peak (prime 10.50%); gradual relief late FY26 (e)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SARB resumes cutting; real incomes recover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Retail turnover growth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~5% — volume-light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Mid-to-high single digit (e)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single / low double digit (e)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Distribution (UPD) margin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Stays squeezed by low 2026 SEP (+1.47%)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Stabilises ~2.5–2.6% (e)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Recovers toward 3.0%+ target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trading margin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Slips below 9% (e)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Holds ~9.1–9.8% band (e)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Toward top of 9.0–10.0% target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Diluted HEPS growth (FY26)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~+4% (low end of guidance)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+4% to +9% (mgmt guidance)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 / above +9% (e)</w:t>
            </w:r>
          </w:p>
        </w:tc>
      </w:tr>
      <w:tr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Share-price read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Defensive holds up vs cyclicals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Quality compounder; premium rating intact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1F3864"/>
                <w:sz w:val="18"/>
                <w:szCs w:val="18"/>
              </w:rPr>
              <w:t xml:space="preserve">Re-rates as growth re-accelerates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16"/>
          <w:szCs w:val="16"/>
        </w:rPr>
        <w:t xml:space="preserve">Bear/base/bull macro levels and items marked (e) are analyst judgement, not company guidance. The +4% to +9% FY2026 diluted-HEPS range is management’s own forecast (H1 FY2026 results, Outlook). Actuals sourced in §2–§6.</w:t>
      </w:r>
    </w:p>
    <w:p>
      <w:pPr>
        <w:pStyle w:val="Heading1"/>
      </w:pPr>
      <w:r>
        <w:t xml:space="preserve">2.  Where Clicks is today (FY2025 + H1 FY2026)</w:t>
      </w:r>
    </w:p>
    <w:p>
      <w:pPr>
        <w:spacing w:after="120" w:line="276"/>
      </w:pPr>
      <w:r>
        <w:t xml:space="preserve">FY2025 (year ended 31 August 2025) was a strong year — group turnover +5.3% to R47,828.1m, trading profit +12.1% (≈R4.7bn) on a +60bps trading margin to 9.8%, and diluted HEPS +14.1% to 1,361.7c, with the total dividend +14.2% to 886c (65% payout). H1 FY2026 (six months to 28 February 2026) decelerated under a weak consumer and a warehouse-management-system (WMS) cutover that cost ~R175m of retail turnover, yet still delivered HEPS +8.1% and grew share.</w:t>
      </w:r>
    </w:p>
    <w:p>
      <w:pPr>
        <w:spacing w:after="20"/>
      </w:pPr>
      <w:r>
        <w:t xml:space="preserve"/>
      </w:r>
    </w:p>
    <w:p>
      <w:pPr>
        <w:pStyle w:val="Heading2"/>
      </w:pPr>
      <w:r>
        <w:t xml:space="preserve">Standardised metrics — H1 FY2026 vs H1 FY2025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H1 FY2026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H1 FY2025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turnover (R’m)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24,872.2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23,164.3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+7.4%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 – Retail turnover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+5.4%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  – Comparable (same-store)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−150 bps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Gross profit (R’m)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5,824.5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5,564.8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+4.7%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−60 bps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trading profit / EBIT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≈R2.3bn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+7.4%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trading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Headline earnings (R’m)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1,529.6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1,437.8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+6.4%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Diluted HEPS (cents)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652.8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603.9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+8.1%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Interim DPS (cents)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+8.4%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ROE / return on shareholders’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−50 bps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ROIC (ex-IFRS 16)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+500 bps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16"/>
          <w:szCs w:val="16"/>
        </w:rPr>
        <w:t xml:space="preserve">Source: Clicks H1 FY2026 interim results (released 23 April 2026) and analyst booklet. Trading profit disclosed as “≈R2.3bn”; precise rand figure not separately tabulated. Margins shown as bps change.</w:t>
      </w:r>
    </w:p>
    <w:p>
      <w:pPr>
        <w:spacing w:after="120" w:line="276"/>
      </w:pPr>
      <w:r>
        <w:rPr>
          <w:b/>
          <w:bCs/>
        </w:rPr>
        <w:t xml:space="preserve">FY2025 reference points:</w:t>
      </w:r>
      <w:r>
        <w:t xml:space="preserve"> turnover R47,828.1m (+5.3%); diluted HEPS 1,361.7c (+14.1%); total DPS 886c (+14.2%, 65% payout); ROE 49.2%; ROIC ex-IFRS 16 47.0%; net working capital 34 days. (FY2025 annual results, 23 October 2025.)</w:t>
      </w:r>
    </w:p>
    <w:p>
      <w:pPr>
        <w:pStyle w:val="Heading1"/>
      </w:pPr>
      <w:r>
        <w:t xml:space="preserve">3.  How Clicks is expected to perform (next 12–18 months)</w:t>
      </w:r>
    </w:p>
    <w:p>
      <w:pPr>
        <w:spacing w:after="120" w:line="276"/>
      </w:pPr>
      <w:r>
        <w:rPr>
          <w:b/>
          <w:bCs/>
        </w:rPr>
        <w:t xml:space="preserve">Management’s own guidance</w:t>
      </w:r>
      <w:r>
        <w:t xml:space="preserve"> is the anchor: full-year FY2026 (to 31 August 2026) </w:t>
      </w:r>
      <w:r>
        <w:rPr>
          <w:b/>
          <w:bCs/>
        </w:rPr>
        <w:t xml:space="preserve">diluted HEPS growth of +4% to +9%</w:t>
      </w:r>
      <w:r>
        <w:t xml:space="preserve"> versus FY2025’s 1,361.7c — i.e. roughly 1,416c to 1,484c (e). The range explicitly assumes a constrained retail environment in H2, rising fuel prices and inflationary pressure on households, geopolitical conflict weighing on SA’s macro, and no regulatory changes.</w:t>
      </w:r>
    </w:p>
    <w:p>
      <w:pPr>
        <w:spacing w:after="120" w:line="276"/>
      </w:pPr>
      <w:r>
        <w:t xml:space="preserve">Our </w:t>
      </w:r>
      <w:r>
        <w:rPr>
          <w:b/>
          <w:bCs/>
        </w:rPr>
        <w:t xml:space="preserve">base case</w:t>
      </w:r>
      <w:r>
        <w:t xml:space="preserve"> sits in the middle of that band: mid-to-high single-digit HEPS growth for FY2026, then a modest re-acceleration into FY2027 as (i) the H1 WMS disruption (~R175m lost retail turnover, now normalised) does not repeat, (ii) buybacks continue to shrink the share count (down 1.8% y/y), and (iii) new-space contribution builds. The key delivery items management has committed to over the period: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Store &amp; pharmacy rollout:</w:t>
      </w:r>
      <w:r>
        <w:t xml:space="preserve"> 40–50 new Clicks stores and 40–50 new pharmacies/dispensaries in FY2026, plus 10 differentiated “concept” stores piloted in H2 and the new UniCare specialised format. Medium-term target: </w:t>
      </w:r>
      <w:r>
        <w:rPr>
          <w:b/>
          <w:bCs/>
        </w:rPr>
        <w:t xml:space="preserve">1,200 Clicks stores</w:t>
      </w:r>
      <w:r>
        <w:t xml:space="preserve"> (1,003 at H1).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Capex of ~R1.3bn (FY2026):</w:t>
      </w:r>
      <w:r>
        <w:t xml:space="preserve"> ~R662m for new stores/pharmacies and refurbishment of 80–90 stores; ~R594m for supply chain, IT and infrastructure.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Margin &amp; returns discipline:</w:t>
      </w:r>
      <w:r>
        <w:t xml:space="preserve"> committed to medium-term targets of group trading margin 9.0–10.0% (retail 10.0–11.0%, distribution 2.8–3.3%), ROE 40–50%, ROIC (ex-IFRS 16) 40–50%, net working capital 30–35 days — all currently being met or exceeded.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Dividend:</w:t>
      </w:r>
      <w:r>
        <w:t xml:space="preserve"> medium-term payout ratio of 60–65% (FY2025 was 65%), supportive of continued double-digit-ish DPS growth if earnings deliver.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UPD / distribution:</w:t>
      </w:r>
      <w:r>
        <w:t xml:space="preserve"> wholesale and preferred-supplier bulk volumes growing strongly (bulk-contract revenue +31.1%), partly offset by the lower 2026 single-exit-price (SEP) adjustment; a newly acquired medical-consumables business adds a growth leg.</w:t>
      </w:r>
    </w:p>
    <w:p>
      <w:pPr>
        <w:spacing w:after="120" w:line="276"/>
      </w:pPr>
      <w:r>
        <w:rPr>
          <w:b/>
          <w:bCs/>
        </w:rPr>
        <w:t xml:space="preserve">The swing factors to watch</w:t>
      </w:r>
      <w:r>
        <w:t xml:space="preserve"> are the SA consumer and interest-rate path (a +25bps SARB hike took the repo to 7.00% in May 2026, prime 10.50%), the pace at which UPD distribution margin recovers off the low 2026 SEP, and execution on pharmacy licences (105 stores still lack a dispensary).</w:t>
      </w:r>
    </w:p>
    <w:p>
      <w:pPr>
        <w:pStyle w:val="Heading1"/>
      </w:pPr>
      <w:r>
        <w:t xml:space="preserve">4.  Key growth indicators to monitor</w:t>
      </w:r>
    </w:p>
    <w:p>
      <w:pPr>
        <w:spacing w:after="120" w:line="276"/>
      </w:pPr>
      <w:r>
        <w:t xml:space="preserve">These are the specific KPIs Clicks reports each period; tracking them is the cleanest read on whether the growth thesis is intact: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3300"/>
        <w:gridCol w:w="2300"/>
      </w:tblGrid>
      <w:tr>
        <w:trPr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Latest reading (H1 FY2026)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Retail pharmacy market share (IQVIA)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24.9% (was 24.2%)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 share-gain engine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Comparable / like-for-like store sales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+3.1% (was +4.6%)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Underlying demand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Selling-price inflation vs CPI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Retail 2.3% vs CPI 3.0%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Volume vs price quality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Dispensary count / scripts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795 dispensaries; 105 stores still awaiting licence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Pharmacy growth runway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 count vs 1,200 target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1,003 Clicks stores (1,075 group)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Space growth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Online / e-commerce sales growth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+17.9%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Channel shift / penetration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Private label % of sales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26.5% (target 35% front-shop)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Margin mix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ClubCard members / % of sales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12.9m members; 83.7% of Clicks sales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Loyalty moat &amp; data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Front-shop share: health / skincare / haircare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32.9% / 43.1% / 32.9%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Category dominance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 trading margin &amp; bulk-contract growth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2.5% margin; bulk +31.1%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Distribution recovery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trading margin vs 9.0–10.0% band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Profitability discipline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16"/>
          <w:szCs w:val="16"/>
        </w:rPr>
        <w:t xml:space="preserve">Source: Clicks H1 FY2026 interim results &amp; analyst booklet. Market-share data per IQVIA (pharmacy) and NielsenIQ (front-shop categories).</w:t>
      </w:r>
    </w:p>
    <w:p>
      <w:pPr>
        <w:pStyle w:val="Heading1"/>
      </w:pPr>
      <w:r>
        <w:t xml:space="preserve">5.  How management is incentivised</w:t>
      </w:r>
    </w:p>
    <w:p>
      <w:pPr>
        <w:spacing w:after="120" w:line="276"/>
      </w:pPr>
      <w:r>
        <w:t xml:space="preserve">Three components: Total Annual Guaranteed Pay (TGP), a short-term incentive (STI / annual cash bonus), and a long-term incentive (LTI). FY2025 single-figure total remuneration: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400"/>
        <w:gridCol w:w="1750"/>
        <w:gridCol w:w="1750"/>
        <w:gridCol w:w="2100"/>
      </w:tblGrid>
      <w:tr>
        <w:trPr>
          <w:tblHeader/>
        </w:trP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Director (R’000)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TGP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(incl. LTI)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 Engelbrecht (CEO)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FY2025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11,854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8,891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30,878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 Engelbrecht (CEO)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FY2024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10,876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6,573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33,103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 Traill (CFO)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FY2025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17,072</w:t>
            </w:r>
          </w:p>
        </w:tc>
      </w:tr>
      <w:tr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 Traill (CFO)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FY2024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6,773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3,411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13,778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16"/>
          <w:szCs w:val="16"/>
        </w:rPr>
        <w:t xml:space="preserve">Source: Clicks Group Remuneration Report 2025, single-figure table p.18. CEO total fell 6.7% y/y on lower LTI vesting; CFO total rose 23.9%.</w:t>
      </w:r>
    </w:p>
    <w:p>
      <w:pPr>
        <w:pStyle w:val="Heading2"/>
      </w:pPr>
      <w:r>
        <w:t xml:space="preserve">Short-term incentive (STI)</w:t>
      </w:r>
    </w:p>
    <w:p>
      <w:pPr>
        <w:spacing w:after="120" w:line="276"/>
      </w:pPr>
      <w:r>
        <w:t xml:space="preserve">Gated on </w:t>
      </w:r>
      <w:r>
        <w:rPr>
          <w:b/>
          <w:bCs/>
        </w:rPr>
        <w:t xml:space="preserve">two equally-weighted financial measures — Return on Net Assets (RONA) and budgeted trading profit — both of which must clear threshold or no bonus is paid</w:t>
      </w:r>
      <w:r>
        <w:t xml:space="preserve">, with an individual-performance modifier and a downward ESG modifier of up to 15% (FTSE4Good, solar, B-BBEE, data privacy). Payout curve: 0% below threshold, 100% on-target, 200% maximum. CEO on-target 75% of TGP (cap 120%); CFO 60% (cap 100%). FY2025 outcome: trading profit 99.9% of target, RONA 100.4% — essentially on-target awards, no ESG reduction.</w:t>
      </w:r>
    </w:p>
    <w:p>
      <w:pPr>
        <w:pStyle w:val="Heading2"/>
      </w:pPr>
      <w:r>
        <w:t xml:space="preserve">Long-term incentive (LTI)</w:t>
      </w:r>
    </w:p>
    <w:p>
      <w:pPr>
        <w:spacing w:after="120" w:line="276"/>
      </w:pPr>
      <w:r>
        <w:t xml:space="preserve">Cash-settled appreciation units split </w:t>
      </w:r>
      <w:r>
        <w:rPr>
          <w:b/>
          <w:bCs/>
        </w:rPr>
        <w:t xml:space="preserve">60% ROIC / 40% diluted-HEPS growth</w:t>
      </w:r>
      <w:r>
        <w:t xml:space="preserve">, vesting 60% after three years then 20% / 20% in years four and five. Hurdles are real-terms: diluted-HEPS CAGR scored against CPI-plus bands (on-target CPI+5–7.4%), and a 36-month ROIC band (on-target 40–44.9%), again subject to the 15% ESG modifier. The 2022 award (measured to 31 Aug 2025) vested 100% on a 12.2% HEPS CAGR.</w:t>
      </w:r>
    </w:p>
    <w:p>
      <w:pPr>
        <w:pStyle w:val="Heading2"/>
      </w:pPr>
      <w:r>
        <w:t xml:space="preserve">Alignment</w:t>
      </w:r>
    </w:p>
    <w:p>
      <w:pPr>
        <w:spacing w:after="120" w:line="276"/>
      </w:pPr>
      <w:r>
        <w:rPr>
          <w:b/>
          <w:bCs/>
        </w:rPr>
        <w:t xml:space="preserve">Minimum shareholding requirement</w:t>
      </w:r>
      <w:r>
        <w:t xml:space="preserve"> of 300% of pay for the CEO (105.7% built) and 150% for the CFO (87.8%, still building); full </w:t>
      </w:r>
      <w:r>
        <w:rPr>
          <w:b/>
          <w:bCs/>
        </w:rPr>
        <w:t xml:space="preserve">malus and clawback</w:t>
      </w:r>
      <w:r>
        <w:t xml:space="preserve"> (three-year recovery window); tail-vesting deferral; and strong shareholder endorsement (remuneration policy 96.28% / implementation 95.47% at the January 2025 AGM). </w:t>
      </w:r>
      <w:r>
        <w:rPr>
          <w:b/>
          <w:bCs/>
        </w:rPr>
        <w:t xml:space="preserve">Assessment:</w:t>
      </w:r>
      <w:r>
        <w:t xml:space="preserve"> incentives reward real per-share earnings and capital efficiency (HEPS + ROIC), not revenue at any cost — well-aligned with shareholder value. The main caveat is that the LTI is cash-settled, so it mimics ownership synthetically rather than creating actual equity stakes (the shareholding requirement partly offsets this).</w:t>
      </w:r>
    </w:p>
    <w:p>
      <w:pPr>
        <w:pStyle w:val="Heading1"/>
      </w:pPr>
      <w:r>
        <w:t xml:space="preserve">6.  Risks management has highlighted</w:t>
      </w:r>
    </w:p>
    <w:p>
      <w:pPr>
        <w:spacing w:after="120" w:line="276"/>
      </w:pPr>
      <w:r>
        <w:t xml:space="preserve">Clicks frames its principal risks as the “material issues for the year ahead” in the FY2025 Integrated Annual Report (pp.15–19), reinforced in the results commentary: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Regulatory — the dominant overhang.</w:t>
      </w:r>
      <w:r>
        <w:t xml:space="preserve"> NHI uncertainty and its potential to reshape the healthcare model; and the annual medicine </w:t>
      </w:r>
      <w:r>
        <w:rPr>
          <w:b/>
          <w:bCs/>
        </w:rPr>
        <w:t xml:space="preserve">single-exit-price (SEP)</w:t>
      </w:r>
      <w:r>
        <w:t xml:space="preserve"> adjustment, set at just </w:t>
      </w:r>
      <w:r>
        <w:rPr>
          <w:b/>
          <w:bCs/>
        </w:rPr>
        <w:t xml:space="preserve">+1.47% for 2026 (vs +5.25% in 2025)</w:t>
      </w:r>
      <w:r>
        <w:t xml:space="preserve">, which directly compresses UPD distribution margin (−50bps in H1). ~50% of group turnover is regulated pharmaceutical product, so licence/compliance risk is material.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Macro / consumer.</w:t>
      </w:r>
      <w:r>
        <w:t xml:space="preserve"> A pressured SA consumer (high unemployment, elevated food/utility/transport/lending costs), rand weakness raising import costs, and rising fuel/inflation — the explicit basis for the cautious H2 FY2026 outlook.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Operational — IT &amp; cybersecurity.</w:t>
      </w:r>
      <w:r>
        <w:t xml:space="preserve"> Stated prospectively as a key risk (resilience, data protection); note the H1 WMS cutover already cost ~R175m of retail turnover. No past data breach is disclosed. Supply-chain resilience, crime/shrinkage and climate/extreme-weather also flagged; load-shedding largely mitigated via solar at all owned DCs.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Competition — multi-front.</w:t>
      </w:r>
      <w:r>
        <w:t xml:space="preserve"> Other pharmacy chains (Dis-Chem), food and general-merchandise retailers expanding into health &amp; beauty, and fast-delivery online players; plus third-party distribution competition for UPD.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Execution.</w:t>
      </w:r>
      <w:r>
        <w:t xml:space="preserve"> Delivering the store/pharmacy rollout depends on securing retail space and pharmacy licences (105 stores still without a dispensary), and on major IT projects (e.g. LEAP pharmacy system) landing on time.</w:t>
      </w:r>
    </w:p>
    <w:p>
      <w:pPr>
        <w:spacing w:after="120" w:line="276"/>
      </w:pPr>
      <w:r>
        <w:rPr>
          <w:b/>
          <w:bCs/>
        </w:rPr>
        <w:t xml:space="preserve">No going-concern, audit-qualification or restatement issues</w:t>
      </w:r>
      <w:r>
        <w:t xml:space="preserve"> were flagged in the documents reviewed.</w:t>
      </w:r>
    </w:p>
    <w:p>
      <w:pPr>
        <w:spacing w:after="20"/>
      </w:pPr>
      <w:r>
        <w:t xml:space="preserve"/>
      </w:r>
    </w:p>
    <w:p>
      <w:pPr>
        <w:pStyle w:val="Heading2"/>
      </w:pPr>
      <w:r>
        <w:t xml:space="preserve">Current macro backdrop (point-in-time, 17 June 2026)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SARB repo rate 7.00%</w:t>
      </w:r>
      <w:r>
        <w:t xml:space="preserve"> — +25bps on 29 May 2026 (first hike since May 2023), prime now </w:t>
      </w:r>
      <w:r>
        <w:rPr>
          <w:b/>
          <w:bCs/>
        </w:rPr>
        <w:t xml:space="preserve">10.50%</w:t>
      </w:r>
      <w:r>
        <w:t xml:space="preserve">; a headwind for discretionary demand.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CPI 4.0% y/y (April 2026)</w:t>
      </w:r>
      <w:r>
        <w:t xml:space="preserve">, up from 3.1% in March, fuel-led — matching management’s stated H2 headwind; May print not yet released.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NHI</w:t>
      </w:r>
      <w:r>
        <w:t xml:space="preserve"> Act signed; Phase 2 (population registration) due 2026–2028 but under multiple legal challenges — risk remains live but slow-moving.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2026 SEP</w:t>
      </w:r>
      <w:r>
        <w:t xml:space="preserve"> capped at +1.47% (manufacturers contesting) — continuing pressure on distribution margin.</w:t>
      </w:r>
    </w:p>
    <w:p>
      <w:pPr>
        <w:pStyle w:val="Heading1"/>
      </w:pPr>
      <w:r>
        <w:t xml:space="preserve">7.  Questions for management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Is the +4% to +9% FY2026 HEPS guidance H2-weighted to the low end given the May repo hike and 4.0% CPI, or is there upside from the WMS normalisation?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What is the path back to the 2.8–3.3% UPD distribution-margin target given the +1.47% 2026 SEP, and how much does the medical-consumables acquisition contribute?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How many of the 105 dispensary-less stores can realistically be licensed in the next 12 months, and what is the script-volume upside?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What is the expected pace and EPS accretion of the buyback programme over FY2026–FY2027?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How is contingency planning evolving for NHI, and what is the realistic earliest date of material P&amp;L impact?</w:t>
      </w:r>
    </w:p>
    <w:p>
      <w:pPr>
        <w:pStyle w:val="Heading1"/>
      </w:pPr>
      <w:r>
        <w:t xml:space="preserve">8.  Sources &amp; caveats</w:t>
      </w:r>
    </w:p>
    <w:p>
      <w:pPr>
        <w:spacing w:after="120" w:line="276"/>
      </w:pPr>
      <w:r>
        <w:rPr>
          <w:b/>
          <w:bCs/>
        </w:rPr>
        <w:t xml:space="preserve">Primary (local documents):</w:t>
      </w:r>
      <w:r>
        <w:t xml:space="preserve"> Clicks H1 FY2026 interim results &amp; analyst booklet (released 23 April 2026, period to 28 Feb 2026); Clicks FY2025 annual results &amp; analyst booklet (23 October 2025); Clicks FY2025 Integrated Annual Report (principal risks pp.15–19); Clicks Group Remuneration Report 2025 (single-figure table p.18, policy pp.10–13).</w:t>
      </w:r>
    </w:p>
    <w:p>
      <w:pPr>
        <w:spacing w:after="120" w:line="276"/>
      </w:pPr>
      <w:r>
        <w:rPr>
          <w:b/>
          <w:bCs/>
        </w:rPr>
        <w:t xml:space="preserve">External (via web search — point-in-time, may be delayed/secondary):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_fb_kldq7mgtn2bou3ofz">
        <w:r>
          <w:rPr>
            <w:rStyle w:val="Hyperlink"/>
            <w:sz w:val="18"/>
            <w:szCs w:val="18"/>
          </w:rPr>
          <w:t xml:space="preserve">SARB repo +25bps to 7.00% (29 May 2026)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42xfymawy6pe4gizhlzvl">
        <w:r>
          <w:rPr>
            <w:rStyle w:val="Hyperlink"/>
            <w:sz w:val="18"/>
            <w:szCs w:val="18"/>
          </w:rPr>
          <w:t xml:space="preserve">Stats SA — CPI April 2026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hgzftiml6kkg-eza1i_p">
        <w:r>
          <w:rPr>
            <w:rStyle w:val="Hyperlink"/>
            <w:sz w:val="18"/>
            <w:szCs w:val="18"/>
          </w:rPr>
          <w:t xml:space="preserve">2026 Annual Single Exit Price adjustment notice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1p7cfjgxhptp4d-9o4zw">
        <w:r>
          <w:rPr>
            <w:rStyle w:val="Hyperlink"/>
            <w:sz w:val="18"/>
            <w:szCs w:val="18"/>
          </w:rPr>
          <w:t xml:space="preserve">NHI implementation — National Dept of Health</w:t>
        </w:r>
      </w:hyperlink>
    </w:p>
    <w:p>
      <w:pPr>
        <w:spacing w:after="4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Caveats.</w:t>
      </w:r>
      <w:r>
        <w:t xml:space="preserve"> Quick-mode analysis: worked primarily from the latest interim results, FY2025 results/IAR and remuneration report; trading statements, full SENS history and prior-year filings not re-read (deep run would backfill). Trading-profit rand figures are management’s rounded disclosures. Share prices/macro are point-in-time (no live JSE feed) and may be stale. For information only — not investment advice; Clicks is not a registered-adviser recommendation. Confirm the fund’s dealing-period status before acting.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Clicks Group (JSE: CLS) — 12–18 Month Outlook  •  Internal research, for information only  •  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4" w:space="2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fb_kldq7mgtn2bou3ofz" Type="http://schemas.openxmlformats.org/officeDocument/2006/relationships/hyperlink" Target="https://www.sanews.gov.za/south-africa/sarb-raises-repo-rate-7" TargetMode="External"/><Relationship Id="rId42xfymawy6pe4gizhlzvl" Type="http://schemas.openxmlformats.org/officeDocument/2006/relationships/hyperlink" Target="https://www.statssa.gov.za/publications/P0141/P0141April2026.pdf" TargetMode="External"/><Relationship Id="rIdqhgzftiml6kkg-eza1i_p" Type="http://schemas.openxmlformats.org/officeDocument/2006/relationships/hyperlink" Target="https://www.gov.za/documents/notices/medicines-and-related-substances-act-annual-single-exit-price-adjustment-9" TargetMode="External"/><Relationship Id="rIdp1p7cfjgxhptp4d-9o4zw" Type="http://schemas.openxmlformats.org/officeDocument/2006/relationships/hyperlink" Target="https://www.health.gov.za/nhi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2026-06-17T19:36:41.350Z</dcterms:created>
  <dcterms:modified xsi:type="dcterms:W3CDTF">2026-06-17T19:36:41.350Z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