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Mr Price Group Limited (JSE: MRP)</w:t>
      </w:r>
    </w:p>
    <w:p>
      <w:pPr>
        <w:spacing w:after="40" w:before="0"/>
      </w:pPr>
      <w:r>
        <w:rPr>
          <w:rFonts w:ascii="Arial" w:hAnsi="Arial"/>
          <w:b w:val="0"/>
          <w:i w:val="0"/>
          <w:color w:val="595959"/>
          <w:sz w:val="20"/>
        </w:rPr>
        <w:t>Forward outlook — next 12–18 months under two Strait of Hormuz scenarios</w:t>
      </w:r>
    </w:p>
    <w:p>
      <w:pPr>
        <w:spacing w:after="40" w:before="0"/>
      </w:pPr>
      <w:r>
        <w:rPr>
          <w:rFonts w:ascii="Arial" w:hAnsi="Arial"/>
          <w:b w:val="0"/>
          <w:i w:val="0"/>
          <w:color w:val="595959"/>
          <w:sz w:val="20"/>
        </w:rPr>
        <w:t>Sector: Value/omnichannel apparel &amp; home retail  ·  Reporting currency: ZAR  ·  Financial year-end: end-March (52/53-week retail calendar)</w:t>
      </w:r>
    </w:p>
    <w:p>
      <w:pPr>
        <w:spacing w:after="60" w:before="0"/>
      </w:pPr>
      <w:r>
        <w:rPr>
          <w:rFonts w:ascii="Arial" w:hAnsi="Arial"/>
          <w:b/>
          <w:i w:val="0"/>
          <w:sz w:val="26"/>
        </w:rPr>
        <w:t>12–18 Month Outlook — Hormuz Scenario A (stays closed) vs Scenario B (reopens)</w:t>
      </w:r>
    </w:p>
    <w:p>
      <w:pPr>
        <w:spacing w:after="200" w:before="0"/>
      </w:pPr>
      <w:r>
        <w:rPr>
          <w:rFonts w:ascii="Arial" w:hAnsi="Arial"/>
          <w:b w:val="0"/>
          <w:i/>
          <w:color w:val="595959"/>
          <w:sz w:val="18"/>
        </w:rPr>
        <w:t>Internal research note · prepared 18 June 2026 · anchored on FY2026 results (52 weeks ended 28 March 2026, released on SENS 5 June 2026)</w:t>
      </w:r>
    </w:p>
    <w:p>
      <w:pPr>
        <w:pStyle w:val="Heading1"/>
      </w:pPr>
      <w:r>
        <w:t>1.  Executive summary</w:t>
      </w:r>
    </w:p>
    <w:p>
      <w:pPr>
        <w:spacing w:after="160" w:before="0"/>
      </w:pPr>
      <w:r>
        <w:rPr>
          <w:rFonts w:ascii="Arial" w:hAnsi="Arial"/>
          <w:b/>
          <w:i w:val="0"/>
          <w:sz w:val="21"/>
        </w:rPr>
        <w:t xml:space="preserve">Note on labelling. </w:t>
      </w:r>
      <w:r>
        <w:rPr>
          <w:rFonts w:ascii="Arial" w:hAnsi="Arial"/>
          <w:b w:val="0"/>
          <w:i w:val="0"/>
          <w:sz w:val="21"/>
        </w:rPr>
        <w:t xml:space="preserve">This note follows your framing: </w:t>
      </w:r>
      <w:r>
        <w:rPr>
          <w:rFonts w:ascii="Arial" w:hAnsi="Arial"/>
          <w:b/>
          <w:i w:val="0"/>
          <w:sz w:val="21"/>
        </w:rPr>
        <w:t>Scenario A = the Strait of Hormuz remains closed</w:t>
      </w:r>
      <w:r>
        <w:rPr>
          <w:rFonts w:ascii="Arial" w:hAnsi="Arial"/>
          <w:b w:val="0"/>
          <w:i w:val="0"/>
          <w:sz w:val="21"/>
        </w:rPr>
        <w:t xml:space="preserve"> for the foreseeable future, and </w:t>
      </w:r>
      <w:r>
        <w:rPr>
          <w:rFonts w:ascii="Arial" w:hAnsi="Arial"/>
          <w:b/>
          <w:i w:val="0"/>
          <w:sz w:val="21"/>
        </w:rPr>
        <w:t>Scenario B = it reopens and stays open</w:t>
      </w:r>
      <w:r>
        <w:rPr>
          <w:rFonts w:ascii="Arial" w:hAnsi="Arial"/>
          <w:b w:val="0"/>
          <w:i w:val="0"/>
          <w:sz w:val="21"/>
        </w:rPr>
        <w:t>. (This is the reverse of the A/B labelling in the Shoprite/Capitec sibling notes, where A was the open case — the macro levels are identical, only the letters are swapped.)</w:t>
      </w:r>
    </w:p>
    <w:p>
      <w:pPr>
        <w:spacing w:after="160" w:before="0"/>
      </w:pPr>
      <w:r>
        <w:rPr>
          <w:rFonts w:ascii="Arial" w:hAnsi="Arial"/>
          <w:b w:val="0"/>
          <w:i w:val="0"/>
          <w:sz w:val="21"/>
        </w:rPr>
        <w:t xml:space="preserve">Mr Price enters this window from a position of relative strength but maximum strategic stretch. </w:t>
      </w:r>
      <w:r>
        <w:rPr>
          <w:rFonts w:ascii="Arial" w:hAnsi="Arial"/>
          <w:b w:val="0"/>
          <w:i w:val="0"/>
          <w:sz w:val="21"/>
        </w:rPr>
        <w:t>FY2026 was resilient-but-unspectacular: revenue R42.7bn (+4.2%), operating profit R6.0bn (+4.3%, ~R16.4m a day), statutory HEPS 1,453.9c (+2.1%) but normalised diluted HEPS ~1,489c (+8.0%) once once-off NKD transaction costs are stripped out. Growth was price-led (RSP inflation 3.8%, unit sales +0.5%). The final dividend was held essentially flat at 592.8c (FY2025: 593.5c) on the ~63% payout policy.</w:t>
      </w:r>
    </w:p>
    <w:p>
      <w:pPr>
        <w:spacing w:after="160" w:before="0"/>
      </w:pPr>
      <w:r>
        <w:rPr>
          <w:rFonts w:ascii="Arial" w:hAnsi="Arial"/>
          <w:b w:val="0"/>
          <w:i w:val="0"/>
          <w:sz w:val="21"/>
        </w:rPr>
        <w:t>The single most important fact for the next 12–18 months is structural, not macro: the ~€487m (~R9.66bn) acquisition of European value retailer NKD (2,000+ stores, seven countries) closed 31 March 2026 and consolidates from FY2027. It more than doubles the store footprint, ends the net-cash (ex-lease) balance sheet, and introduces a large new euro translation exposure. Execution of NKD now matters more to the FY2027 equity story than the SA base — and it creates a genuine cross-current that makes Mr Price less one-directional to a Hormuz shock than a pure-SA discretionary retailer.</w:t>
      </w:r>
    </w:p>
    <w:p>
      <w:pPr>
        <w:spacing w:after="160" w:before="0"/>
      </w:pPr>
      <w:r>
        <w:rPr>
          <w:rFonts w:ascii="Arial" w:hAnsi="Arial"/>
          <w:b/>
          <w:i w:val="0"/>
          <w:sz w:val="21"/>
        </w:rPr>
        <w:t xml:space="preserve">Bottom line. </w:t>
      </w:r>
      <w:r>
        <w:rPr>
          <w:rFonts w:ascii="Arial" w:hAnsi="Arial"/>
          <w:b w:val="0"/>
          <w:i w:val="0"/>
          <w:sz w:val="21"/>
        </w:rPr>
        <w:t xml:space="preserve">Scenario B (reopen) is clearly the better outcome — lower fuel and falling rates revive SA discretionary demand, a firmer rand eases imported input costs and supports the ~40% gross margin, and finance costs on the new NKD gearing fall. Scenario A (stays closed) is a slow squeeze on the SA cash engine — a higher-for-longer repo (SARB severe path ~8.17%), record fuel and a weaker rand compress real volumes and landed margins, and lift the FY2027 interest bill. </w:t>
      </w:r>
      <w:r>
        <w:rPr>
          <w:rFonts w:ascii="Arial" w:hAnsi="Arial"/>
          <w:b w:val="0"/>
          <w:i w:val="0"/>
          <w:sz w:val="21"/>
        </w:rPr>
        <w:t xml:space="preserve">But two partial cushions make the closed case less dire for MRP specifically: (i) as a cash-based </w:t>
      </w:r>
      <w:r>
        <w:rPr>
          <w:rFonts w:ascii="Arial" w:hAnsi="Arial"/>
          <w:b w:val="0"/>
          <w:i/>
          <w:sz w:val="21"/>
        </w:rPr>
        <w:t>value</w:t>
      </w:r>
      <w:r>
        <w:rPr>
          <w:rFonts w:ascii="Arial" w:hAnsi="Arial"/>
          <w:b w:val="0"/>
          <w:i w:val="0"/>
          <w:sz w:val="21"/>
        </w:rPr>
        <w:t xml:space="preserve"> retailer it is a relative trade-down beneficiary when household budgets tighten; and (ii) a weaker rand mechanically </w:t>
      </w:r>
      <w:r>
        <w:rPr>
          <w:rFonts w:ascii="Arial" w:hAnsi="Arial"/>
          <w:b w:val="0"/>
          <w:i/>
          <w:sz w:val="21"/>
        </w:rPr>
        <w:t>flatters</w:t>
      </w:r>
      <w:r>
        <w:rPr>
          <w:rFonts w:ascii="Arial" w:hAnsi="Arial"/>
          <w:b w:val="0"/>
          <w:i w:val="0"/>
          <w:sz w:val="21"/>
        </w:rPr>
        <w:t xml:space="preserve"> the rand-translated NKD euro earnings, partly hedging the domestic hit. Net read: the Hormuz outcome sets the SA cyclical backdrop, but NKD integration is the dominant swing factor in both worlds. (Analyst judgement.)</w:t>
      </w:r>
    </w:p>
    <w:p>
      <w:pPr>
        <w:pStyle w:val="Heading1"/>
      </w:pPr>
      <w:r>
        <w:t>2.  What Mr Price is today (FY2026 actuals — the sacred base)</w:t>
      </w:r>
    </w:p>
    <w:p>
      <w:pPr>
        <w:spacing w:after="120" w:before="0"/>
      </w:pPr>
      <w:r>
        <w:rPr>
          <w:rFonts w:ascii="Arial" w:hAnsi="Arial"/>
          <w:b w:val="0"/>
          <w:i w:val="0"/>
          <w:sz w:val="21"/>
        </w:rPr>
        <w:t>All figures below are reported actuals from the FY2026 results unless marked (e). They are the anchor for every scenario number in section 6.</w:t>
      </w:r>
    </w:p>
    <w:tbl>
      <w:tblPr>
        <w:tblStyle w:val="TableGrid"/>
        <w:tblW w:type="auto" w:w="0"/>
        <w:jc w:val="center"/>
        <w:tblLook w:firstColumn="1" w:firstRow="1" w:lastColumn="0" w:lastRow="0" w:noHBand="0" w:noVBand="1" w:val="04A0"/>
      </w:tblPr>
      <w:tblGrid>
        <w:gridCol w:w="3120"/>
        <w:gridCol w:w="3120"/>
        <w:gridCol w:w="3120"/>
      </w:tblGrid>
      <w:tr>
        <w:tc>
          <w:tcPr>
            <w:tcW w:type="dxa" w:w="4600"/>
            <w:shd w:val="clear" w:fill="1F3864"/>
          </w:tcPr>
          <w:p>
            <w:r/>
            <w:r>
              <w:rPr>
                <w:rFonts w:ascii="Arial" w:hAnsi="Arial"/>
                <w:b/>
                <w:i w:val="0"/>
                <w:color w:val="FFFFFF"/>
                <w:sz w:val="18"/>
              </w:rPr>
              <w:t>Metric (FY2026, 52 wks to 28 Mar 2026)</w:t>
            </w:r>
          </w:p>
        </w:tc>
        <w:tc>
          <w:tcPr>
            <w:tcW w:type="dxa" w:w="2400"/>
            <w:shd w:val="clear" w:fill="2E5496"/>
          </w:tcPr>
          <w:p>
            <w:r/>
            <w:r>
              <w:rPr>
                <w:rFonts w:ascii="Arial" w:hAnsi="Arial"/>
                <w:b/>
                <w:i w:val="0"/>
                <w:color w:val="FFFFFF"/>
                <w:sz w:val="18"/>
              </w:rPr>
              <w:t>Value</w:t>
            </w:r>
          </w:p>
        </w:tc>
        <w:tc>
          <w:tcPr>
            <w:tcW w:type="dxa" w:w="2400"/>
            <w:shd w:val="clear" w:fill="2E5496"/>
          </w:tcPr>
          <w:p>
            <w:r/>
            <w:r>
              <w:rPr>
                <w:rFonts w:ascii="Arial" w:hAnsi="Arial"/>
                <w:b/>
                <w:i w:val="0"/>
                <w:color w:val="FFFFFF"/>
                <w:sz w:val="18"/>
              </w:rPr>
              <w:t>vs FY2025</w:t>
            </w:r>
          </w:p>
        </w:tc>
      </w:tr>
      <w:tr>
        <w:tc>
          <w:tcPr>
            <w:tcW w:type="dxa" w:w="4600"/>
            <w:shd w:val="clear" w:fill="F2F2F2"/>
          </w:tcPr>
          <w:p>
            <w:r/>
            <w:r>
              <w:rPr>
                <w:rFonts w:ascii="Arial" w:hAnsi="Arial"/>
                <w:b/>
                <w:i w:val="0"/>
                <w:sz w:val="18"/>
              </w:rPr>
              <w:t>Total revenue</w:t>
            </w:r>
          </w:p>
        </w:tc>
        <w:tc>
          <w:tcPr>
            <w:tcW w:type="dxa" w:w="2400"/>
          </w:tcPr>
          <w:p>
            <w:r/>
            <w:r>
              <w:rPr>
                <w:rFonts w:ascii="Arial" w:hAnsi="Arial"/>
                <w:b w:val="0"/>
                <w:i w:val="0"/>
                <w:sz w:val="18"/>
              </w:rPr>
              <w:t>R42.7bn</w:t>
            </w:r>
          </w:p>
        </w:tc>
        <w:tc>
          <w:tcPr>
            <w:tcW w:type="dxa" w:w="2400"/>
          </w:tcPr>
          <w:p>
            <w:r/>
            <w:r>
              <w:rPr>
                <w:rFonts w:ascii="Arial" w:hAnsi="Arial"/>
                <w:b w:val="0"/>
                <w:i w:val="0"/>
                <w:sz w:val="18"/>
              </w:rPr>
              <w:t>+4.2%</w:t>
            </w:r>
          </w:p>
        </w:tc>
      </w:tr>
      <w:tr>
        <w:tc>
          <w:tcPr>
            <w:tcW w:type="dxa" w:w="4600"/>
            <w:shd w:val="clear" w:fill="F2F2F2"/>
          </w:tcPr>
          <w:p>
            <w:r/>
            <w:r>
              <w:rPr>
                <w:rFonts w:ascii="Arial" w:hAnsi="Arial"/>
                <w:b/>
                <w:i w:val="0"/>
                <w:sz w:val="18"/>
              </w:rPr>
              <w:t>Retail sales</w:t>
            </w:r>
          </w:p>
        </w:tc>
        <w:tc>
          <w:tcPr>
            <w:tcW w:type="dxa" w:w="2400"/>
            <w:shd w:val="clear" w:fill="FAFAFA"/>
          </w:tcPr>
          <w:p>
            <w:r/>
            <w:r>
              <w:rPr>
                <w:rFonts w:ascii="Arial" w:hAnsi="Arial"/>
                <w:b w:val="0"/>
                <w:i w:val="0"/>
                <w:sz w:val="18"/>
              </w:rPr>
              <w:t>R41.1bn</w:t>
            </w:r>
          </w:p>
        </w:tc>
        <w:tc>
          <w:tcPr>
            <w:tcW w:type="dxa" w:w="2400"/>
            <w:shd w:val="clear" w:fill="FAFAFA"/>
          </w:tcPr>
          <w:p>
            <w:r/>
            <w:r>
              <w:rPr>
                <w:rFonts w:ascii="Arial" w:hAnsi="Arial"/>
                <w:b w:val="0"/>
                <w:i w:val="0"/>
                <w:sz w:val="18"/>
              </w:rPr>
              <w:t>+4.3%</w:t>
            </w:r>
          </w:p>
        </w:tc>
      </w:tr>
      <w:tr>
        <w:tc>
          <w:tcPr>
            <w:tcW w:type="dxa" w:w="4600"/>
            <w:shd w:val="clear" w:fill="F2F2F2"/>
          </w:tcPr>
          <w:p>
            <w:r/>
            <w:r>
              <w:rPr>
                <w:rFonts w:ascii="Arial" w:hAnsi="Arial"/>
                <w:b/>
                <w:i w:val="0"/>
                <w:sz w:val="18"/>
              </w:rPr>
              <w:t>Operating profit</w:t>
            </w:r>
          </w:p>
        </w:tc>
        <w:tc>
          <w:tcPr>
            <w:tcW w:type="dxa" w:w="2400"/>
          </w:tcPr>
          <w:p>
            <w:r/>
            <w:r>
              <w:rPr>
                <w:rFonts w:ascii="Arial" w:hAnsi="Arial"/>
                <w:b w:val="0"/>
                <w:i w:val="0"/>
                <w:sz w:val="18"/>
              </w:rPr>
              <w:t>R6.0bn (~R16.4m/day)</w:t>
            </w:r>
          </w:p>
        </w:tc>
        <w:tc>
          <w:tcPr>
            <w:tcW w:type="dxa" w:w="2400"/>
          </w:tcPr>
          <w:p>
            <w:r/>
            <w:r>
              <w:rPr>
                <w:rFonts w:ascii="Arial" w:hAnsi="Arial"/>
                <w:b w:val="0"/>
                <w:i w:val="0"/>
                <w:sz w:val="18"/>
              </w:rPr>
              <w:t>+4.3%</w:t>
            </w:r>
          </w:p>
        </w:tc>
      </w:tr>
      <w:tr>
        <w:tc>
          <w:tcPr>
            <w:tcW w:type="dxa" w:w="4600"/>
            <w:shd w:val="clear" w:fill="F2F2F2"/>
          </w:tcPr>
          <w:p>
            <w:r/>
            <w:r>
              <w:rPr>
                <w:rFonts w:ascii="Arial" w:hAnsi="Arial"/>
                <w:b/>
                <w:i w:val="0"/>
                <w:sz w:val="18"/>
              </w:rPr>
              <w:t>HEPS (statutory)</w:t>
            </w:r>
          </w:p>
        </w:tc>
        <w:tc>
          <w:tcPr>
            <w:tcW w:type="dxa" w:w="2400"/>
            <w:shd w:val="clear" w:fill="FAFAFA"/>
          </w:tcPr>
          <w:p>
            <w:r/>
            <w:r>
              <w:rPr>
                <w:rFonts w:ascii="Arial" w:hAnsi="Arial"/>
                <w:b w:val="0"/>
                <w:i w:val="0"/>
                <w:sz w:val="18"/>
              </w:rPr>
              <w:t>1,453.9c</w:t>
            </w:r>
          </w:p>
        </w:tc>
        <w:tc>
          <w:tcPr>
            <w:tcW w:type="dxa" w:w="2400"/>
            <w:shd w:val="clear" w:fill="FAFAFA"/>
          </w:tcPr>
          <w:p>
            <w:r/>
            <w:r>
              <w:rPr>
                <w:rFonts w:ascii="Arial" w:hAnsi="Arial"/>
                <w:b w:val="0"/>
                <w:i w:val="0"/>
                <w:sz w:val="18"/>
              </w:rPr>
              <w:t>+2.1%</w:t>
            </w:r>
          </w:p>
        </w:tc>
      </w:tr>
      <w:tr>
        <w:tc>
          <w:tcPr>
            <w:tcW w:type="dxa" w:w="4600"/>
            <w:shd w:val="clear" w:fill="F2F2F2"/>
          </w:tcPr>
          <w:p>
            <w:r/>
            <w:r>
              <w:rPr>
                <w:rFonts w:ascii="Arial" w:hAnsi="Arial"/>
                <w:b/>
                <w:i w:val="0"/>
                <w:sz w:val="18"/>
              </w:rPr>
              <w:t>Normalised diluted HEPS (ex-NKD once-offs)</w:t>
            </w:r>
          </w:p>
        </w:tc>
        <w:tc>
          <w:tcPr>
            <w:tcW w:type="dxa" w:w="2400"/>
          </w:tcPr>
          <w:p>
            <w:r/>
            <w:r>
              <w:rPr>
                <w:rFonts w:ascii="Arial" w:hAnsi="Arial"/>
                <w:b w:val="0"/>
                <w:i w:val="0"/>
                <w:sz w:val="18"/>
              </w:rPr>
              <w:t>~1,489c</w:t>
            </w:r>
          </w:p>
        </w:tc>
        <w:tc>
          <w:tcPr>
            <w:tcW w:type="dxa" w:w="2400"/>
          </w:tcPr>
          <w:p>
            <w:r/>
            <w:r>
              <w:rPr>
                <w:rFonts w:ascii="Arial" w:hAnsi="Arial"/>
                <w:b w:val="0"/>
                <w:i w:val="0"/>
                <w:sz w:val="18"/>
              </w:rPr>
              <w:t>+8.0%</w:t>
            </w:r>
          </w:p>
        </w:tc>
      </w:tr>
      <w:tr>
        <w:tc>
          <w:tcPr>
            <w:tcW w:type="dxa" w:w="4600"/>
            <w:shd w:val="clear" w:fill="F2F2F2"/>
          </w:tcPr>
          <w:p>
            <w:r/>
            <w:r>
              <w:rPr>
                <w:rFonts w:ascii="Arial" w:hAnsi="Arial"/>
                <w:b/>
                <w:i w:val="0"/>
                <w:sz w:val="18"/>
              </w:rPr>
              <w:t>Final dividend</w:t>
            </w:r>
          </w:p>
        </w:tc>
        <w:tc>
          <w:tcPr>
            <w:tcW w:type="dxa" w:w="2400"/>
            <w:shd w:val="clear" w:fill="FAFAFA"/>
          </w:tcPr>
          <w:p>
            <w:r/>
            <w:r>
              <w:rPr>
                <w:rFonts w:ascii="Arial" w:hAnsi="Arial"/>
                <w:b w:val="0"/>
                <w:i w:val="0"/>
                <w:sz w:val="18"/>
              </w:rPr>
              <w:t>592.8c (~63% payout)</w:t>
            </w:r>
          </w:p>
        </w:tc>
        <w:tc>
          <w:tcPr>
            <w:tcW w:type="dxa" w:w="2400"/>
            <w:shd w:val="clear" w:fill="FAFAFA"/>
          </w:tcPr>
          <w:p>
            <w:r/>
            <w:r>
              <w:rPr>
                <w:rFonts w:ascii="Arial" w:hAnsi="Arial"/>
                <w:b w:val="0"/>
                <w:i w:val="0"/>
                <w:sz w:val="18"/>
              </w:rPr>
              <w:t>−0.1%</w:t>
            </w:r>
          </w:p>
        </w:tc>
      </w:tr>
      <w:tr>
        <w:tc>
          <w:tcPr>
            <w:tcW w:type="dxa" w:w="4600"/>
            <w:shd w:val="clear" w:fill="F2F2F2"/>
          </w:tcPr>
          <w:p>
            <w:r/>
            <w:r>
              <w:rPr>
                <w:rFonts w:ascii="Arial" w:hAnsi="Arial"/>
                <w:b/>
                <w:i w:val="0"/>
                <w:sz w:val="18"/>
              </w:rPr>
              <w:t>RSP inflation / unit sales</w:t>
            </w:r>
          </w:p>
        </w:tc>
        <w:tc>
          <w:tcPr>
            <w:tcW w:type="dxa" w:w="2400"/>
          </w:tcPr>
          <w:p>
            <w:r/>
            <w:r>
              <w:rPr>
                <w:rFonts w:ascii="Arial" w:hAnsi="Arial"/>
                <w:b w:val="0"/>
                <w:i w:val="0"/>
                <w:sz w:val="18"/>
              </w:rPr>
              <w:t>3.8% / +0.5%</w:t>
            </w:r>
          </w:p>
        </w:tc>
        <w:tc>
          <w:tcPr>
            <w:tcW w:type="dxa" w:w="2400"/>
          </w:tcPr>
          <w:p>
            <w:r/>
            <w:r>
              <w:rPr>
                <w:rFonts w:ascii="Arial" w:hAnsi="Arial"/>
                <w:b w:val="0"/>
                <w:i w:val="0"/>
                <w:sz w:val="18"/>
              </w:rPr>
              <w:t>price-led</w:t>
            </w:r>
          </w:p>
        </w:tc>
      </w:tr>
      <w:tr>
        <w:tc>
          <w:tcPr>
            <w:tcW w:type="dxa" w:w="4600"/>
            <w:shd w:val="clear" w:fill="F2F2F2"/>
          </w:tcPr>
          <w:p>
            <w:r/>
            <w:r>
              <w:rPr>
                <w:rFonts w:ascii="Arial" w:hAnsi="Arial"/>
                <w:b/>
                <w:i w:val="0"/>
                <w:sz w:val="18"/>
              </w:rPr>
              <w:t>Cash sales (% of retail sales)</w:t>
            </w:r>
          </w:p>
        </w:tc>
        <w:tc>
          <w:tcPr>
            <w:tcW w:type="dxa" w:w="2400"/>
            <w:shd w:val="clear" w:fill="FAFAFA"/>
          </w:tcPr>
          <w:p>
            <w:r/>
            <w:r>
              <w:rPr>
                <w:rFonts w:ascii="Arial" w:hAnsi="Arial"/>
                <w:b w:val="0"/>
                <w:i w:val="0"/>
                <w:sz w:val="18"/>
              </w:rPr>
              <w:t>89.4%</w:t>
            </w:r>
          </w:p>
        </w:tc>
        <w:tc>
          <w:tcPr>
            <w:tcW w:type="dxa" w:w="2400"/>
            <w:shd w:val="clear" w:fill="FAFAFA"/>
          </w:tcPr>
          <w:p>
            <w:r/>
            <w:r>
              <w:rPr>
                <w:rFonts w:ascii="Arial" w:hAnsi="Arial"/>
                <w:b w:val="0"/>
                <w:i w:val="0"/>
                <w:sz w:val="18"/>
              </w:rPr>
              <w:t>+4.4%</w:t>
            </w:r>
          </w:p>
        </w:tc>
      </w:tr>
      <w:tr>
        <w:tc>
          <w:tcPr>
            <w:tcW w:type="dxa" w:w="4600"/>
            <w:shd w:val="clear" w:fill="F2F2F2"/>
          </w:tcPr>
          <w:p>
            <w:r/>
            <w:r>
              <w:rPr>
                <w:rFonts w:ascii="Arial" w:hAnsi="Arial"/>
                <w:b/>
                <w:i w:val="0"/>
                <w:sz w:val="18"/>
              </w:rPr>
              <w:t>Online sales</w:t>
            </w:r>
          </w:p>
        </w:tc>
        <w:tc>
          <w:tcPr>
            <w:tcW w:type="dxa" w:w="2400"/>
          </w:tcPr>
          <w:p>
            <w:r/>
            <w:r>
              <w:rPr>
                <w:rFonts w:ascii="Arial" w:hAnsi="Arial"/>
                <w:b w:val="0"/>
                <w:i w:val="0"/>
                <w:sz w:val="18"/>
              </w:rPr>
              <w:t>+4.9%</w:t>
            </w:r>
          </w:p>
        </w:tc>
        <w:tc>
          <w:tcPr>
            <w:tcW w:type="dxa" w:w="2400"/>
          </w:tcPr>
          <w:p>
            <w:r/>
            <w:r>
              <w:rPr>
                <w:rFonts w:ascii="Arial" w:hAnsi="Arial"/>
                <w:b w:val="0"/>
                <w:i w:val="0"/>
                <w:sz w:val="18"/>
              </w:rPr>
              <w:t>&gt; 55% click-&amp;-collect</w:t>
            </w:r>
          </w:p>
        </w:tc>
      </w:tr>
      <w:tr>
        <w:tc>
          <w:tcPr>
            <w:tcW w:type="dxa" w:w="4600"/>
            <w:shd w:val="clear" w:fill="F2F2F2"/>
          </w:tcPr>
          <w:p>
            <w:r/>
            <w:r>
              <w:rPr>
                <w:rFonts w:ascii="Arial" w:hAnsi="Arial"/>
                <w:b/>
                <w:i w:val="0"/>
                <w:sz w:val="18"/>
              </w:rPr>
              <w:t>Stores / trading space</w:t>
            </w:r>
          </w:p>
        </w:tc>
        <w:tc>
          <w:tcPr>
            <w:tcW w:type="dxa" w:w="2400"/>
            <w:shd w:val="clear" w:fill="FAFAFA"/>
          </w:tcPr>
          <w:p>
            <w:r/>
            <w:r>
              <w:rPr>
                <w:rFonts w:ascii="Arial" w:hAnsi="Arial"/>
                <w:b w:val="0"/>
                <w:i w:val="0"/>
                <w:sz w:val="18"/>
              </w:rPr>
              <w:t>3,182 (+196) / +3.6%</w:t>
            </w:r>
          </w:p>
        </w:tc>
        <w:tc>
          <w:tcPr>
            <w:tcW w:type="dxa" w:w="2400"/>
            <w:shd w:val="clear" w:fill="FAFAFA"/>
          </w:tcPr>
          <w:p>
            <w:r/>
            <w:r>
              <w:rPr>
                <w:rFonts w:ascii="Arial" w:hAnsi="Arial"/>
                <w:b w:val="0"/>
                <w:i w:val="0"/>
                <w:sz w:val="18"/>
              </w:rPr>
              <w:t>15 chains</w:t>
            </w:r>
          </w:p>
        </w:tc>
      </w:tr>
    </w:tbl>
    <w:p>
      <w:pPr>
        <w:spacing w:after="40" w:before="0"/>
      </w:pPr>
    </w:p>
    <w:p>
      <w:pPr>
        <w:spacing w:after="160" w:before="0"/>
      </w:pPr>
      <w:r>
        <w:rPr>
          <w:rFonts w:ascii="Arial" w:hAnsi="Arial"/>
          <w:b/>
          <w:i w:val="0"/>
          <w:sz w:val="21"/>
        </w:rPr>
        <w:t xml:space="preserve">Balance sheet &amp; strategic state. </w:t>
      </w:r>
      <w:r>
        <w:rPr>
          <w:rFonts w:ascii="Arial" w:hAnsi="Arial"/>
          <w:b w:val="0"/>
          <w:i w:val="0"/>
          <w:sz w:val="21"/>
        </w:rPr>
        <w:t>Pre-NKD the group was effectively net cash excluding IFRS-16 leases (third-party screens show ~R8.6bn debt vs ~R3.0bn cash, but most of that “debt” is lease liability). The ~R9.66bn NKD consideration is the first deal to gear up the balance sheet and consume the net-cash buffer; the flat dividend is consistent with preserving capital for it. Combined group revenue is heading toward ~R53bn (e) once NKD consolidates in FY2027.</w:t>
      </w:r>
    </w:p>
    <w:p>
      <w:pPr>
        <w:spacing w:after="160" w:before="0"/>
      </w:pPr>
      <w:r>
        <w:rPr>
          <w:rFonts w:ascii="Arial" w:hAnsi="Arial"/>
          <w:b/>
          <w:i w:val="0"/>
          <w:sz w:val="21"/>
        </w:rPr>
        <w:t xml:space="preserve">Latest corporate calendar. </w:t>
      </w:r>
      <w:r>
        <w:rPr>
          <w:rFonts w:ascii="Arial" w:hAnsi="Arial"/>
          <w:b w:val="0"/>
          <w:i w:val="0"/>
          <w:sz w:val="21"/>
        </w:rPr>
        <w:t>FY2026 final dividend 592.8c: last day to trade cum-div Tuesday 30 June 2026, ex-div 1 July, record 3 July, payment Monday 6 July 2026. Next results: H1 FY2027 interim, expected ~1 November 2026 — the first period to consolidate NKD.</w:t>
      </w:r>
    </w:p>
    <w:p>
      <w:pPr>
        <w:pStyle w:val="Heading1"/>
      </w:pPr>
      <w:r>
        <w:t>3.  The transmission chain — how the Strait reaches a Mr Price till</w:t>
      </w:r>
    </w:p>
    <w:p>
      <w:pPr>
        <w:spacing w:after="120" w:before="0"/>
      </w:pPr>
      <w:r>
        <w:rPr>
          <w:rFonts w:ascii="Arial" w:hAnsi="Arial"/>
          <w:b w:val="0"/>
          <w:i w:val="0"/>
          <w:sz w:val="21"/>
        </w:rPr>
        <w:t>A Strait of Hormuz disruption does not touch Mr Price directly — it sells almost nothing through the Gulf. The impact is entirely second-order, through oil, the rand, interest rates and the South African consumer's wallet, with a distinctive twist from the new euro layer:</w:t>
      </w:r>
    </w:p>
    <w:p>
      <w:pPr>
        <w:pStyle w:val="ListBullet"/>
        <w:spacing w:after="80"/>
      </w:pPr>
      <w:r>
        <w:rPr>
          <w:rFonts w:ascii="Arial" w:hAnsi="Arial"/>
          <w:b/>
          <w:i w:val="0"/>
          <w:sz w:val="21"/>
        </w:rPr>
        <w:t xml:space="preserve">1) Oil supply shock. </w:t>
      </w:r>
      <w:r>
        <w:rPr>
          <w:rFonts w:ascii="Arial" w:hAnsi="Arial"/>
          <w:b w:val="0"/>
          <w:i w:val="0"/>
          <w:sz w:val="21"/>
        </w:rPr>
        <w:t>Closure removes ~one-fifth of seaborne crude. Brent spiked to $110–$120+/bbl during the March 2026 episode; the macro deck assumes ~$100/bbl sustained if it stays shut, vs ~$72–$79 if it reopens (reopening is already partly priced into the ~$79–81 spot).</w:t>
      </w:r>
    </w:p>
    <w:p>
      <w:pPr>
        <w:pStyle w:val="ListBullet"/>
        <w:spacing w:after="80"/>
      </w:pPr>
      <w:r>
        <w:rPr>
          <w:rFonts w:ascii="Arial" w:hAnsi="Arial"/>
          <w:b/>
          <w:i w:val="0"/>
          <w:sz w:val="21"/>
        </w:rPr>
        <w:t xml:space="preserve">2) Fuel → inflation → rates. </w:t>
      </w:r>
      <w:r>
        <w:rPr>
          <w:rFonts w:ascii="Arial" w:hAnsi="Arial"/>
          <w:b w:val="0"/>
          <w:i w:val="0"/>
          <w:sz w:val="21"/>
        </w:rPr>
        <w:t>Higher crude feeds straight into SA pump prices (inland 95 hit a record ~R28.06/l; severe path ~R29.5–30.5). That lifts headline CPI and forces the SARB to keep policy tight — it already hiked 25bp to 7.00% on 28 May 2026 (first hike in three years), with a severe-scenario path to ~8.17% vs an easing path toward ~6.25–6.67% if oil recedes.</w:t>
      </w:r>
    </w:p>
    <w:p>
      <w:pPr>
        <w:pStyle w:val="ListBullet"/>
        <w:spacing w:after="80"/>
      </w:pPr>
      <w:r>
        <w:rPr>
          <w:rFonts w:ascii="Arial" w:hAnsi="Arial"/>
          <w:b/>
          <w:i w:val="0"/>
          <w:sz w:val="21"/>
        </w:rPr>
        <w:t xml:space="preserve">3) The rand. </w:t>
      </w:r>
      <w:r>
        <w:rPr>
          <w:rFonts w:ascii="Arial" w:hAnsi="Arial"/>
          <w:b w:val="0"/>
          <w:i w:val="0"/>
          <w:sz w:val="21"/>
        </w:rPr>
        <w:t>An oil-driven risk-off weakens the rand (USD/ZAR ~17.5–18.0 in the closed case vs ~15.8–16.0 if it reopens). For MRP this cuts two ways — see the twist below.</w:t>
      </w:r>
    </w:p>
    <w:p>
      <w:pPr>
        <w:pStyle w:val="ListBullet"/>
        <w:spacing w:after="80"/>
      </w:pPr>
      <w:r>
        <w:rPr>
          <w:rFonts w:ascii="Arial" w:hAnsi="Arial"/>
          <w:b/>
          <w:i w:val="0"/>
          <w:sz w:val="21"/>
        </w:rPr>
        <w:t xml:space="preserve">4) The SA discretionary consumer (the main channel). </w:t>
      </w:r>
      <w:r>
        <w:rPr>
          <w:rFonts w:ascii="Arial" w:hAnsi="Arial"/>
          <w:b w:val="0"/>
          <w:i w:val="0"/>
          <w:sz w:val="21"/>
        </w:rPr>
        <w:t>Higher fuel + higher-for-longer rates drain disposable income. Apparel and homewear are discretionary, so volumes get squeezed first. As a cash-based value retailer (89.4% cash sales), Mr Price is relatively defensive and a trade-down beneficiary — but it is still discretionary and not immune.</w:t>
      </w:r>
    </w:p>
    <w:p>
      <w:pPr>
        <w:pStyle w:val="ListBullet"/>
        <w:spacing w:after="80"/>
      </w:pPr>
      <w:r>
        <w:rPr>
          <w:rFonts w:ascii="Arial" w:hAnsi="Arial"/>
          <w:b/>
          <w:i w:val="0"/>
          <w:sz w:val="21"/>
        </w:rPr>
        <w:t xml:space="preserve">5) Imported input costs (margin channel). </w:t>
      </w:r>
      <w:r>
        <w:rPr>
          <w:rFonts w:ascii="Arial" w:hAnsi="Arial"/>
          <w:b w:val="0"/>
          <w:i w:val="0"/>
          <w:sz w:val="21"/>
        </w:rPr>
        <w:t>Mr Price sources apparel/home in USD/CNY. A weaker rand raises landed costs and pressures the ~40% gross margin — managed via forward cover, supplier negotiation and local sourcing, so the hit is lagged and partial, not immediate.</w:t>
      </w:r>
    </w:p>
    <w:p>
      <w:pPr>
        <w:pStyle w:val="ListBullet"/>
        <w:spacing w:after="80"/>
      </w:pPr>
      <w:r>
        <w:rPr>
          <w:rFonts w:ascii="Arial" w:hAnsi="Arial"/>
          <w:b/>
          <w:i w:val="0"/>
          <w:sz w:val="21"/>
        </w:rPr>
        <w:t xml:space="preserve">6) The euro twist (NKD). </w:t>
      </w:r>
      <w:r>
        <w:rPr>
          <w:rFonts w:ascii="Arial" w:hAnsi="Arial"/>
          <w:b w:val="0"/>
          <w:i w:val="0"/>
          <w:sz w:val="21"/>
        </w:rPr>
        <w:t xml:space="preserve">From FY2027 a large euro-denominated business is consolidated into a ZAR reporter. A weaker rand therefore </w:t>
      </w:r>
      <w:r>
        <w:rPr>
          <w:rFonts w:ascii="Arial" w:hAnsi="Arial"/>
          <w:b w:val="0"/>
          <w:i/>
          <w:sz w:val="21"/>
        </w:rPr>
        <w:t>flatters</w:t>
      </w:r>
      <w:r>
        <w:rPr>
          <w:rFonts w:ascii="Arial" w:hAnsi="Arial"/>
          <w:b w:val="0"/>
          <w:i w:val="0"/>
          <w:sz w:val="21"/>
        </w:rPr>
        <w:t xml:space="preserve"> the rand value of NKD's euro revenue and earnings — a partial natural hedge against the domestic squeeze. The offset is incomplete: a Hormuz oil shock also hits the European consumer and raises NKD's own energy/logistics costs, making the turnaround harder in real terms.</w:t>
      </w:r>
    </w:p>
    <w:p>
      <w:pPr>
        <w:pStyle w:val="ListBullet"/>
        <w:spacing w:after="80"/>
      </w:pPr>
      <w:r>
        <w:rPr>
          <w:rFonts w:ascii="Arial" w:hAnsi="Arial"/>
          <w:b/>
          <w:i w:val="0"/>
          <w:sz w:val="21"/>
        </w:rPr>
        <w:t xml:space="preserve">7) Finance costs (new). </w:t>
      </w:r>
      <w:r>
        <w:rPr>
          <w:rFonts w:ascii="Arial" w:hAnsi="Arial"/>
          <w:b w:val="0"/>
          <w:i w:val="0"/>
          <w:sz w:val="21"/>
        </w:rPr>
        <w:t>Post-NKD the group carries genuine financial gearing for the first time. A higher-for-longer SARB rate lifts the FY2027 interest bill on the acquisition funding and slows deleveraging.</w:t>
      </w:r>
    </w:p>
    <w:p>
      <w:pPr>
        <w:pStyle w:val="Heading1"/>
      </w:pPr>
      <w:r>
        <w:t>4.  Scenario A — the Strait stays closed (the squeeze case)</w:t>
      </w:r>
    </w:p>
    <w:p>
      <w:pPr>
        <w:spacing w:after="160" w:before="0"/>
      </w:pPr>
      <w:r>
        <w:rPr>
          <w:rFonts w:ascii="Arial" w:hAnsi="Arial"/>
          <w:b/>
          <w:i w:val="0"/>
          <w:sz w:val="21"/>
        </w:rPr>
        <w:t xml:space="preserve">Macro assumptions (per the shared deck, 17 Jun 2026): </w:t>
      </w:r>
      <w:r>
        <w:rPr>
          <w:rFonts w:ascii="Arial" w:hAnsi="Arial"/>
          <w:b w:val="0"/>
          <w:i w:val="0"/>
          <w:sz w:val="21"/>
        </w:rPr>
        <w:t>Brent ~$100/bbl sustained; USD/ZAR ~17.5 → 18.0; SARB repo ~8.17% (higher-for-longer); inland 95 petrol ~R29.5 → R30.5/l. (Scenario levels are analyst estimates (e), not company guidance.)</w:t>
      </w:r>
    </w:p>
    <w:p>
      <w:pPr>
        <w:spacing w:after="120" w:before="0"/>
      </w:pPr>
      <w:r>
        <w:rPr>
          <w:rFonts w:ascii="Arial" w:hAnsi="Arial"/>
          <w:b w:val="0"/>
          <w:i w:val="0"/>
          <w:sz w:val="21"/>
        </w:rPr>
        <w:t>Channel-by-channel read for Mr Price:</w:t>
      </w:r>
    </w:p>
    <w:p>
      <w:pPr>
        <w:pStyle w:val="ListBullet"/>
        <w:spacing w:after="80"/>
      </w:pPr>
      <w:r>
        <w:rPr>
          <w:rFonts w:ascii="Arial" w:hAnsi="Arial"/>
          <w:b/>
          <w:i w:val="0"/>
          <w:sz w:val="21"/>
        </w:rPr>
        <w:t xml:space="preserve">Demand. </w:t>
      </w:r>
      <w:r>
        <w:rPr>
          <w:rFonts w:ascii="Arial" w:hAnsi="Arial"/>
          <w:b w:val="0"/>
          <w:i w:val="0"/>
          <w:sz w:val="21"/>
        </w:rPr>
        <w:t>SA discretionary spend stays soft and possibly weakens further; the tentative 2025 recovery in disposable income stalls. RSP (price) inflation likely ticks up on imported cost-push, supporting nominal sales but at the expense of units — expect low-single-digit organic retail-sales growth, weighted to price, not volume. (e)</w:t>
      </w:r>
    </w:p>
    <w:p>
      <w:pPr>
        <w:pStyle w:val="ListBullet"/>
        <w:spacing w:after="80"/>
      </w:pPr>
      <w:r>
        <w:rPr>
          <w:rFonts w:ascii="Arial" w:hAnsi="Arial"/>
          <w:b/>
          <w:i w:val="0"/>
          <w:sz w:val="21"/>
        </w:rPr>
        <w:t xml:space="preserve">Relative winner within a losing market. </w:t>
      </w:r>
      <w:r>
        <w:rPr>
          <w:rFonts w:ascii="Arial" w:hAnsi="Arial"/>
          <w:b w:val="0"/>
          <w:i w:val="0"/>
          <w:sz w:val="21"/>
        </w:rPr>
        <w:t>Tighter budgets push shoppers toward value/cash retail; MRP's chains (Mr Price, Power Fashion, Studio 88, Mr Price Home, Sheet Street) are natural trade-down destinations. This cushions, but does not reverse, the volume drag.</w:t>
      </w:r>
    </w:p>
    <w:p>
      <w:pPr>
        <w:pStyle w:val="ListBullet"/>
        <w:spacing w:after="80"/>
      </w:pPr>
      <w:r>
        <w:rPr>
          <w:rFonts w:ascii="Arial" w:hAnsi="Arial"/>
          <w:b/>
          <w:i w:val="0"/>
          <w:sz w:val="21"/>
        </w:rPr>
        <w:t xml:space="preserve">Margin. </w:t>
      </w:r>
      <w:r>
        <w:rPr>
          <w:rFonts w:ascii="Arial" w:hAnsi="Arial"/>
          <w:b w:val="0"/>
          <w:i w:val="0"/>
          <w:sz w:val="21"/>
        </w:rPr>
        <w:t>A weaker rand lifts landed input costs; hedging delays the hit but a sustained move compresses gross margin. Combined with NKD integration drag, expect group operating margin to compress modestly (order of ~50–150bps (e)) rather than expand.</w:t>
      </w:r>
    </w:p>
    <w:p>
      <w:pPr>
        <w:pStyle w:val="ListBullet"/>
        <w:spacing w:after="80"/>
      </w:pPr>
      <w:r>
        <w:rPr>
          <w:rFonts w:ascii="Arial" w:hAnsi="Arial"/>
          <w:b/>
          <w:i w:val="0"/>
          <w:sz w:val="21"/>
        </w:rPr>
        <w:t xml:space="preserve">Finance costs &amp; gearing. </w:t>
      </w:r>
      <w:r>
        <w:rPr>
          <w:rFonts w:ascii="Arial" w:hAnsi="Arial"/>
          <w:b w:val="0"/>
          <w:i w:val="0"/>
          <w:sz w:val="21"/>
        </w:rPr>
        <w:t>The ~8%+ repo raises the interest charge on NKD funding and slows deleveraging — a real drag on bottom-line growth in the first geared year.</w:t>
      </w:r>
    </w:p>
    <w:p>
      <w:pPr>
        <w:pStyle w:val="ListBullet"/>
        <w:spacing w:after="80"/>
      </w:pPr>
      <w:r>
        <w:rPr>
          <w:rFonts w:ascii="Arial" w:hAnsi="Arial"/>
          <w:b/>
          <w:i w:val="0"/>
          <w:sz w:val="21"/>
        </w:rPr>
        <w:t xml:space="preserve">The euro cushion. </w:t>
      </w:r>
      <w:r>
        <w:rPr>
          <w:rFonts w:ascii="Arial" w:hAnsi="Arial"/>
          <w:b w:val="0"/>
          <w:i w:val="0"/>
          <w:sz w:val="21"/>
        </w:rPr>
        <w:t>EUR/ZAR strength flatters reported NKD rand revenue/earnings, partly offsetting the domestic squeeze — but a European oil shock also pressures NKD's underlying turnaround.</w:t>
      </w:r>
    </w:p>
    <w:p>
      <w:pPr>
        <w:pStyle w:val="ListBullet"/>
        <w:spacing w:after="80"/>
      </w:pPr>
      <w:r>
        <w:rPr>
          <w:rFonts w:ascii="Arial" w:hAnsi="Arial"/>
          <w:b/>
          <w:i w:val="0"/>
          <w:sz w:val="21"/>
        </w:rPr>
        <w:t xml:space="preserve">Net (FY2027E). </w:t>
      </w:r>
      <w:r>
        <w:rPr>
          <w:rFonts w:ascii="Arial" w:hAnsi="Arial"/>
          <w:b w:val="0"/>
          <w:i w:val="0"/>
          <w:sz w:val="21"/>
        </w:rPr>
        <w:t>Reported group revenue still steps up on NKD consolidation (toward ~R53bn (e), with FX translation adding noise), but earnings quality is poor: normalised group HEPS growth roughly flat-to-mid-single-digit (e), margins under pressure, and a realistic chance the payout is trimmed below ~63% to protect the deleveraging path. A defensive, capital-preserving year.</w:t>
      </w:r>
    </w:p>
    <w:p>
      <w:pPr>
        <w:pStyle w:val="Heading1"/>
      </w:pPr>
      <w:r>
        <w:t>5.  Scenario B — the Strait reopens and stays open (the recovery case)</w:t>
      </w:r>
    </w:p>
    <w:p>
      <w:pPr>
        <w:spacing w:after="160" w:before="0"/>
      </w:pPr>
      <w:r>
        <w:rPr>
          <w:rFonts w:ascii="Arial" w:hAnsi="Arial"/>
          <w:b/>
          <w:i w:val="0"/>
          <w:sz w:val="21"/>
        </w:rPr>
        <w:t xml:space="preserve">Macro assumptions (per the shared deck, 17 Jun 2026): </w:t>
      </w:r>
      <w:r>
        <w:rPr>
          <w:rFonts w:ascii="Arial" w:hAnsi="Arial"/>
          <w:b w:val="0"/>
          <w:i w:val="0"/>
          <w:sz w:val="21"/>
        </w:rPr>
        <w:t>Brent receding to ~$72–$79/bbl; USD/ZAR firming to ~16.0 → 15.8; SARB repo easing toward ~6.67% → 6.25%; inland 95 petrol back to ~R25.5 → R24.5/l. (Scenario levels are analyst estimates (e).)</w:t>
      </w:r>
    </w:p>
    <w:p>
      <w:pPr>
        <w:spacing w:after="120" w:before="0"/>
      </w:pPr>
      <w:r>
        <w:rPr>
          <w:rFonts w:ascii="Arial" w:hAnsi="Arial"/>
          <w:b w:val="0"/>
          <w:i w:val="0"/>
          <w:sz w:val="21"/>
        </w:rPr>
        <w:t>Channel-by-channel read for Mr Price:</w:t>
      </w:r>
    </w:p>
    <w:p>
      <w:pPr>
        <w:pStyle w:val="ListBullet"/>
        <w:spacing w:after="80"/>
      </w:pPr>
      <w:r>
        <w:rPr>
          <w:rFonts w:ascii="Arial" w:hAnsi="Arial"/>
          <w:b/>
          <w:i w:val="0"/>
          <w:sz w:val="21"/>
        </w:rPr>
        <w:t xml:space="preserve">Demand. </w:t>
      </w:r>
      <w:r>
        <w:rPr>
          <w:rFonts w:ascii="Arial" w:hAnsi="Arial"/>
          <w:b w:val="0"/>
          <w:i w:val="0"/>
          <w:sz w:val="21"/>
        </w:rPr>
        <w:t>Falling fuel and a rate-cutting cycle restore household disposable income; the 2025 recovery thesis resumes. Discretionary apparel/home volumes improve — expect mid-to-high-single-digit organic retail-sales growth with a healthier price/volume mix. (e)</w:t>
      </w:r>
    </w:p>
    <w:p>
      <w:pPr>
        <w:pStyle w:val="ListBullet"/>
        <w:spacing w:after="80"/>
      </w:pPr>
      <w:r>
        <w:rPr>
          <w:rFonts w:ascii="Arial" w:hAnsi="Arial"/>
          <w:b/>
          <w:i w:val="0"/>
          <w:sz w:val="21"/>
        </w:rPr>
        <w:t xml:space="preserve">Margin. </w:t>
      </w:r>
      <w:r>
        <w:rPr>
          <w:rFonts w:ascii="Arial" w:hAnsi="Arial"/>
          <w:b w:val="0"/>
          <w:i w:val="0"/>
          <w:sz w:val="21"/>
        </w:rPr>
        <w:t>A firmer rand lowers landed input costs and supports the ~40% gross margin; renewed volume brings operating leverage back. Group operating margin stable-to-expanding. (e)</w:t>
      </w:r>
    </w:p>
    <w:p>
      <w:pPr>
        <w:pStyle w:val="ListBullet"/>
        <w:spacing w:after="80"/>
      </w:pPr>
      <w:r>
        <w:rPr>
          <w:rFonts w:ascii="Arial" w:hAnsi="Arial"/>
          <w:b/>
          <w:i w:val="0"/>
          <w:sz w:val="21"/>
        </w:rPr>
        <w:t xml:space="preserve">Finance costs &amp; gearing. </w:t>
      </w:r>
      <w:r>
        <w:rPr>
          <w:rFonts w:ascii="Arial" w:hAnsi="Arial"/>
          <w:b w:val="0"/>
          <w:i w:val="0"/>
          <w:sz w:val="21"/>
        </w:rPr>
        <w:t>Lower rates cut the interest bill on NKD funding and accelerate deleveraging, protecting the ~63% payout policy and supporting dividend growth.</w:t>
      </w:r>
    </w:p>
    <w:p>
      <w:pPr>
        <w:pStyle w:val="ListBullet"/>
        <w:spacing w:after="80"/>
      </w:pPr>
      <w:r>
        <w:rPr>
          <w:rFonts w:ascii="Arial" w:hAnsi="Arial"/>
          <w:b/>
          <w:i w:val="0"/>
          <w:sz w:val="21"/>
        </w:rPr>
        <w:t xml:space="preserve">The euro headwind (mild). </w:t>
      </w:r>
      <w:r>
        <w:rPr>
          <w:rFonts w:ascii="Arial" w:hAnsi="Arial"/>
          <w:b w:val="0"/>
          <w:i w:val="0"/>
          <w:sz w:val="21"/>
        </w:rPr>
        <w:t>A stronger rand reduces the rand value of NKD's euro earnings on translation — but the underlying European turnaround is helped by lower energy/logistics costs and a better consumer, so the economic effect is favourable even if the optical translation is a touch lower.</w:t>
      </w:r>
    </w:p>
    <w:p>
      <w:pPr>
        <w:pStyle w:val="ListBullet"/>
        <w:spacing w:after="80"/>
      </w:pPr>
      <w:r>
        <w:rPr>
          <w:rFonts w:ascii="Arial" w:hAnsi="Arial"/>
          <w:b/>
          <w:i w:val="0"/>
          <w:sz w:val="21"/>
        </w:rPr>
        <w:t xml:space="preserve">Net (FY2027E). </w:t>
      </w:r>
      <w:r>
        <w:rPr>
          <w:rFonts w:ascii="Arial" w:hAnsi="Arial"/>
          <w:b w:val="0"/>
          <w:i w:val="0"/>
          <w:sz w:val="21"/>
        </w:rPr>
        <w:t>NKD consolidation plus a recovering SA base lifts reported revenue (toward ~R54–56bn (e)) and, more importantly, earnings quality: normalised group HEPS growth in the high-single to low-double-digit range (e), margin expansion, deleveraging on track, dividend maintained and growing. The setup for a re-rating if NKD integration also delivers.</w:t>
      </w:r>
    </w:p>
    <w:p>
      <w:pPr>
        <w:pStyle w:val="Heading1"/>
      </w:pPr>
      <w:r>
        <w:t>6.  FY2027E / FY2028E framing by scenario</w:t>
      </w:r>
    </w:p>
    <w:p>
      <w:pPr>
        <w:spacing w:after="160" w:before="0"/>
      </w:pPr>
      <w:r>
        <w:rPr>
          <w:rFonts w:ascii="Arial" w:hAnsi="Arial"/>
          <w:b w:val="0"/>
          <w:i w:val="0"/>
          <w:sz w:val="21"/>
        </w:rPr>
        <w:t xml:space="preserve">All figures in this table are analyst estimates </w:t>
      </w:r>
      <w:r>
        <w:rPr>
          <w:rFonts w:ascii="Arial" w:hAnsi="Arial"/>
          <w:b/>
          <w:i w:val="0"/>
          <w:sz w:val="21"/>
        </w:rPr>
        <w:t>(e)</w:t>
      </w:r>
      <w:r>
        <w:rPr>
          <w:rFonts w:ascii="Arial" w:hAnsi="Arial"/>
          <w:b w:val="0"/>
          <w:i w:val="0"/>
          <w:sz w:val="21"/>
        </w:rPr>
        <w:t>, directional and anchored on the FY2026 sacred base; they are not company guidance. Revenue is a deliberately noisy signal here because NKD consolidation and opposing FX-translation effects both move it — read operating margin, normalised HEPS and the dividend as the cleaner gauges.</w:t>
      </w:r>
    </w:p>
    <w:tbl>
      <w:tblPr>
        <w:tblStyle w:val="TableGrid"/>
        <w:tblW w:type="auto" w:w="0"/>
        <w:jc w:val="center"/>
        <w:tblLook w:firstColumn="1" w:firstRow="1" w:lastColumn="0" w:lastRow="0" w:noHBand="0" w:noVBand="1" w:val="04A0"/>
      </w:tblPr>
      <w:tblGrid>
        <w:gridCol w:w="3120"/>
        <w:gridCol w:w="3120"/>
        <w:gridCol w:w="3120"/>
      </w:tblGrid>
      <w:tr>
        <w:tc>
          <w:tcPr>
            <w:tcW w:type="dxa" w:w="3000"/>
            <w:shd w:val="clear" w:fill="1F3864"/>
          </w:tcPr>
          <w:p>
            <w:r/>
            <w:r>
              <w:rPr>
                <w:rFonts w:ascii="Arial" w:hAnsi="Arial"/>
                <w:b/>
                <w:i w:val="0"/>
                <w:color w:val="FFFFFF"/>
                <w:sz w:val="18"/>
              </w:rPr>
              <w:t>Driver / metric</w:t>
            </w:r>
          </w:p>
        </w:tc>
        <w:tc>
          <w:tcPr>
            <w:tcW w:type="dxa" w:w="3300"/>
            <w:shd w:val="clear" w:fill="C00000"/>
          </w:tcPr>
          <w:p>
            <w:r/>
            <w:r>
              <w:rPr>
                <w:rFonts w:ascii="Arial" w:hAnsi="Arial"/>
                <w:b/>
                <w:i w:val="0"/>
                <w:color w:val="FFFFFF"/>
                <w:sz w:val="18"/>
              </w:rPr>
              <w:t>Scenario A — stays closed</w:t>
            </w:r>
          </w:p>
        </w:tc>
        <w:tc>
          <w:tcPr>
            <w:tcW w:type="dxa" w:w="3300"/>
            <w:shd w:val="clear" w:fill="375623"/>
          </w:tcPr>
          <w:p>
            <w:r/>
            <w:r>
              <w:rPr>
                <w:rFonts w:ascii="Arial" w:hAnsi="Arial"/>
                <w:b/>
                <w:i w:val="0"/>
                <w:color w:val="FFFFFF"/>
                <w:sz w:val="18"/>
              </w:rPr>
              <w:t>Scenario B — reopens</w:t>
            </w:r>
          </w:p>
        </w:tc>
      </w:tr>
      <w:tr>
        <w:tc>
          <w:tcPr>
            <w:tcW w:type="dxa" w:w="3000"/>
            <w:shd w:val="clear" w:fill="F2F2F2"/>
          </w:tcPr>
          <w:p>
            <w:r/>
            <w:r>
              <w:rPr>
                <w:rFonts w:ascii="Arial" w:hAnsi="Arial"/>
                <w:b/>
                <w:i w:val="0"/>
                <w:sz w:val="18"/>
              </w:rPr>
              <w:t>Brent (period avg)</w:t>
            </w:r>
          </w:p>
        </w:tc>
        <w:tc>
          <w:tcPr>
            <w:tcW w:type="dxa" w:w="3300"/>
          </w:tcPr>
          <w:p>
            <w:r/>
            <w:r>
              <w:rPr>
                <w:rFonts w:ascii="Arial" w:hAnsi="Arial"/>
                <w:b w:val="0"/>
                <w:i w:val="0"/>
                <w:sz w:val="18"/>
              </w:rPr>
              <w:t>~$100/bbl</w:t>
            </w:r>
          </w:p>
        </w:tc>
        <w:tc>
          <w:tcPr>
            <w:tcW w:type="dxa" w:w="3300"/>
          </w:tcPr>
          <w:p>
            <w:r/>
            <w:r>
              <w:rPr>
                <w:rFonts w:ascii="Arial" w:hAnsi="Arial"/>
                <w:b w:val="0"/>
                <w:i w:val="0"/>
                <w:sz w:val="18"/>
              </w:rPr>
              <w:t>~$72–$79/bbl</w:t>
            </w:r>
          </w:p>
        </w:tc>
      </w:tr>
      <w:tr>
        <w:tc>
          <w:tcPr>
            <w:tcW w:type="dxa" w:w="3000"/>
            <w:shd w:val="clear" w:fill="F2F2F2"/>
          </w:tcPr>
          <w:p>
            <w:r/>
            <w:r>
              <w:rPr>
                <w:rFonts w:ascii="Arial" w:hAnsi="Arial"/>
                <w:b/>
                <w:i w:val="0"/>
                <w:sz w:val="18"/>
              </w:rPr>
              <w:t>USD/ZAR (FY27→FY28)</w:t>
            </w:r>
          </w:p>
        </w:tc>
        <w:tc>
          <w:tcPr>
            <w:tcW w:type="dxa" w:w="3300"/>
            <w:shd w:val="clear" w:fill="FAFAFA"/>
          </w:tcPr>
          <w:p>
            <w:r/>
            <w:r>
              <w:rPr>
                <w:rFonts w:ascii="Arial" w:hAnsi="Arial"/>
                <w:b w:val="0"/>
                <w:i w:val="0"/>
                <w:sz w:val="18"/>
              </w:rPr>
              <w:t>~17.5 → 18.0</w:t>
            </w:r>
          </w:p>
        </w:tc>
        <w:tc>
          <w:tcPr>
            <w:tcW w:type="dxa" w:w="3300"/>
            <w:shd w:val="clear" w:fill="FAFAFA"/>
          </w:tcPr>
          <w:p>
            <w:r/>
            <w:r>
              <w:rPr>
                <w:rFonts w:ascii="Arial" w:hAnsi="Arial"/>
                <w:b w:val="0"/>
                <w:i w:val="0"/>
                <w:sz w:val="18"/>
              </w:rPr>
              <w:t>~16.0 → 15.8</w:t>
            </w:r>
          </w:p>
        </w:tc>
      </w:tr>
      <w:tr>
        <w:tc>
          <w:tcPr>
            <w:tcW w:type="dxa" w:w="3000"/>
            <w:shd w:val="clear" w:fill="F2F2F2"/>
          </w:tcPr>
          <w:p>
            <w:r/>
            <w:r>
              <w:rPr>
                <w:rFonts w:ascii="Arial" w:hAnsi="Arial"/>
                <w:b/>
                <w:i w:val="0"/>
                <w:sz w:val="18"/>
              </w:rPr>
              <w:t>SARB repo (period end)</w:t>
            </w:r>
          </w:p>
        </w:tc>
        <w:tc>
          <w:tcPr>
            <w:tcW w:type="dxa" w:w="3300"/>
          </w:tcPr>
          <w:p>
            <w:r/>
            <w:r>
              <w:rPr>
                <w:rFonts w:ascii="Arial" w:hAnsi="Arial"/>
                <w:b w:val="0"/>
                <w:i w:val="0"/>
                <w:sz w:val="18"/>
              </w:rPr>
              <w:t>~8.17% (higher-for-longer)</w:t>
            </w:r>
          </w:p>
        </w:tc>
        <w:tc>
          <w:tcPr>
            <w:tcW w:type="dxa" w:w="3300"/>
          </w:tcPr>
          <w:p>
            <w:r/>
            <w:r>
              <w:rPr>
                <w:rFonts w:ascii="Arial" w:hAnsi="Arial"/>
                <w:b w:val="0"/>
                <w:i w:val="0"/>
                <w:sz w:val="18"/>
              </w:rPr>
              <w:t>~6.67% → 6.25% (easing)</w:t>
            </w:r>
          </w:p>
        </w:tc>
      </w:tr>
      <w:tr>
        <w:tc>
          <w:tcPr>
            <w:tcW w:type="dxa" w:w="3000"/>
            <w:shd w:val="clear" w:fill="F2F2F2"/>
          </w:tcPr>
          <w:p>
            <w:r/>
            <w:r>
              <w:rPr>
                <w:rFonts w:ascii="Arial" w:hAnsi="Arial"/>
                <w:b/>
                <w:i w:val="0"/>
                <w:sz w:val="18"/>
              </w:rPr>
              <w:t>Inland 95 petrol</w:t>
            </w:r>
          </w:p>
        </w:tc>
        <w:tc>
          <w:tcPr>
            <w:tcW w:type="dxa" w:w="3300"/>
            <w:shd w:val="clear" w:fill="FAFAFA"/>
          </w:tcPr>
          <w:p>
            <w:r/>
            <w:r>
              <w:rPr>
                <w:rFonts w:ascii="Arial" w:hAnsi="Arial"/>
                <w:b w:val="0"/>
                <w:i w:val="0"/>
                <w:sz w:val="18"/>
              </w:rPr>
              <w:t>~R29.5 → R30.5/l</w:t>
            </w:r>
          </w:p>
        </w:tc>
        <w:tc>
          <w:tcPr>
            <w:tcW w:type="dxa" w:w="3300"/>
            <w:shd w:val="clear" w:fill="FAFAFA"/>
          </w:tcPr>
          <w:p>
            <w:r/>
            <w:r>
              <w:rPr>
                <w:rFonts w:ascii="Arial" w:hAnsi="Arial"/>
                <w:b w:val="0"/>
                <w:i w:val="0"/>
                <w:sz w:val="18"/>
              </w:rPr>
              <w:t>~R25.5 → R24.5/l</w:t>
            </w:r>
          </w:p>
        </w:tc>
      </w:tr>
      <w:tr>
        <w:tc>
          <w:tcPr>
            <w:tcW w:type="dxa" w:w="3000"/>
            <w:shd w:val="clear" w:fill="F2F2F2"/>
          </w:tcPr>
          <w:p>
            <w:r/>
            <w:r>
              <w:rPr>
                <w:rFonts w:ascii="Arial" w:hAnsi="Arial"/>
                <w:b/>
                <w:i w:val="0"/>
                <w:sz w:val="18"/>
              </w:rPr>
              <w:t>SA organic retail-sales growth (e)</w:t>
            </w:r>
          </w:p>
        </w:tc>
        <w:tc>
          <w:tcPr>
            <w:tcW w:type="dxa" w:w="3300"/>
          </w:tcPr>
          <w:p>
            <w:r/>
            <w:r>
              <w:rPr>
                <w:rFonts w:ascii="Arial" w:hAnsi="Arial"/>
                <w:b w:val="0"/>
                <w:i w:val="0"/>
                <w:sz w:val="18"/>
              </w:rPr>
              <w:t>low-single-digit, price-led</w:t>
            </w:r>
          </w:p>
        </w:tc>
        <w:tc>
          <w:tcPr>
            <w:tcW w:type="dxa" w:w="3300"/>
          </w:tcPr>
          <w:p>
            <w:r/>
            <w:r>
              <w:rPr>
                <w:rFonts w:ascii="Arial" w:hAnsi="Arial"/>
                <w:b w:val="0"/>
                <w:i w:val="0"/>
                <w:sz w:val="18"/>
              </w:rPr>
              <w:t>mid-to-high-single-digit</w:t>
            </w:r>
          </w:p>
        </w:tc>
      </w:tr>
      <w:tr>
        <w:tc>
          <w:tcPr>
            <w:tcW w:type="dxa" w:w="3000"/>
            <w:shd w:val="clear" w:fill="F2F2F2"/>
          </w:tcPr>
          <w:p>
            <w:r/>
            <w:r>
              <w:rPr>
                <w:rFonts w:ascii="Arial" w:hAnsi="Arial"/>
                <w:b/>
                <w:i w:val="0"/>
                <w:sz w:val="18"/>
              </w:rPr>
              <w:t>Group operating margin (e)</w:t>
            </w:r>
          </w:p>
        </w:tc>
        <w:tc>
          <w:tcPr>
            <w:tcW w:type="dxa" w:w="3300"/>
            <w:shd w:val="clear" w:fill="FAFAFA"/>
          </w:tcPr>
          <w:p>
            <w:r/>
            <w:r>
              <w:rPr>
                <w:rFonts w:ascii="Arial" w:hAnsi="Arial"/>
                <w:b w:val="0"/>
                <w:i w:val="0"/>
                <w:sz w:val="18"/>
              </w:rPr>
              <w:t>compresses ~50–150bps</w:t>
            </w:r>
          </w:p>
        </w:tc>
        <w:tc>
          <w:tcPr>
            <w:tcW w:type="dxa" w:w="3300"/>
            <w:shd w:val="clear" w:fill="FAFAFA"/>
          </w:tcPr>
          <w:p>
            <w:r/>
            <w:r>
              <w:rPr>
                <w:rFonts w:ascii="Arial" w:hAnsi="Arial"/>
                <w:b w:val="0"/>
                <w:i w:val="0"/>
                <w:sz w:val="18"/>
              </w:rPr>
              <w:t>stable-to-expanding</w:t>
            </w:r>
          </w:p>
        </w:tc>
      </w:tr>
      <w:tr>
        <w:tc>
          <w:tcPr>
            <w:tcW w:type="dxa" w:w="3000"/>
            <w:shd w:val="clear" w:fill="F2F2F2"/>
          </w:tcPr>
          <w:p>
            <w:r/>
            <w:r>
              <w:rPr>
                <w:rFonts w:ascii="Arial" w:hAnsi="Arial"/>
                <w:b/>
                <w:i w:val="0"/>
                <w:sz w:val="18"/>
              </w:rPr>
              <w:t>Normalised group HEPS growth (e)</w:t>
            </w:r>
          </w:p>
        </w:tc>
        <w:tc>
          <w:tcPr>
            <w:tcW w:type="dxa" w:w="3300"/>
          </w:tcPr>
          <w:p>
            <w:r/>
            <w:r>
              <w:rPr>
                <w:rFonts w:ascii="Arial" w:hAnsi="Arial"/>
                <w:b w:val="0"/>
                <w:i w:val="0"/>
                <w:sz w:val="18"/>
              </w:rPr>
              <w:t>flat → mid-single-digit</w:t>
            </w:r>
          </w:p>
        </w:tc>
        <w:tc>
          <w:tcPr>
            <w:tcW w:type="dxa" w:w="3300"/>
          </w:tcPr>
          <w:p>
            <w:r/>
            <w:r>
              <w:rPr>
                <w:rFonts w:ascii="Arial" w:hAnsi="Arial"/>
                <w:b w:val="0"/>
                <w:i w:val="0"/>
                <w:sz w:val="18"/>
              </w:rPr>
              <w:t>high-single → low-double-digit</w:t>
            </w:r>
          </w:p>
        </w:tc>
      </w:tr>
      <w:tr>
        <w:tc>
          <w:tcPr>
            <w:tcW w:type="dxa" w:w="3000"/>
            <w:shd w:val="clear" w:fill="F2F2F2"/>
          </w:tcPr>
          <w:p>
            <w:r/>
            <w:r>
              <w:rPr>
                <w:rFonts w:ascii="Arial" w:hAnsi="Arial"/>
                <w:b/>
                <w:i w:val="0"/>
                <w:sz w:val="18"/>
              </w:rPr>
              <w:t>NKD euro translation effect</w:t>
            </w:r>
          </w:p>
        </w:tc>
        <w:tc>
          <w:tcPr>
            <w:tcW w:type="dxa" w:w="3300"/>
            <w:shd w:val="clear" w:fill="FAFAFA"/>
          </w:tcPr>
          <w:p>
            <w:r/>
            <w:r>
              <w:rPr>
                <w:rFonts w:ascii="Arial" w:hAnsi="Arial"/>
                <w:b w:val="0"/>
                <w:i w:val="0"/>
                <w:sz w:val="18"/>
              </w:rPr>
              <w:t>flattering (weaker ZAR)</w:t>
            </w:r>
          </w:p>
        </w:tc>
        <w:tc>
          <w:tcPr>
            <w:tcW w:type="dxa" w:w="3300"/>
            <w:shd w:val="clear" w:fill="FAFAFA"/>
          </w:tcPr>
          <w:p>
            <w:r/>
            <w:r>
              <w:rPr>
                <w:rFonts w:ascii="Arial" w:hAnsi="Arial"/>
                <w:b w:val="0"/>
                <w:i w:val="0"/>
                <w:sz w:val="18"/>
              </w:rPr>
              <w:t>mild headwind (stronger ZAR)</w:t>
            </w:r>
          </w:p>
        </w:tc>
      </w:tr>
      <w:tr>
        <w:tc>
          <w:tcPr>
            <w:tcW w:type="dxa" w:w="3000"/>
            <w:shd w:val="clear" w:fill="F2F2F2"/>
          </w:tcPr>
          <w:p>
            <w:r/>
            <w:r>
              <w:rPr>
                <w:rFonts w:ascii="Arial" w:hAnsi="Arial"/>
                <w:b/>
                <w:i w:val="0"/>
                <w:sz w:val="18"/>
              </w:rPr>
              <w:t>Finance costs / deleveraging</w:t>
            </w:r>
          </w:p>
        </w:tc>
        <w:tc>
          <w:tcPr>
            <w:tcW w:type="dxa" w:w="3300"/>
          </w:tcPr>
          <w:p>
            <w:r/>
            <w:r>
              <w:rPr>
                <w:rFonts w:ascii="Arial" w:hAnsi="Arial"/>
                <w:b w:val="0"/>
                <w:i w:val="0"/>
                <w:sz w:val="18"/>
              </w:rPr>
              <w:t>elevated; slow</w:t>
            </w:r>
          </w:p>
        </w:tc>
        <w:tc>
          <w:tcPr>
            <w:tcW w:type="dxa" w:w="3300"/>
          </w:tcPr>
          <w:p>
            <w:r/>
            <w:r>
              <w:rPr>
                <w:rFonts w:ascii="Arial" w:hAnsi="Arial"/>
                <w:b w:val="0"/>
                <w:i w:val="0"/>
                <w:sz w:val="18"/>
              </w:rPr>
              <w:t>falling; on track</w:t>
            </w:r>
          </w:p>
        </w:tc>
      </w:tr>
      <w:tr>
        <w:tc>
          <w:tcPr>
            <w:tcW w:type="dxa" w:w="3000"/>
            <w:shd w:val="clear" w:fill="F2F2F2"/>
          </w:tcPr>
          <w:p>
            <w:r/>
            <w:r>
              <w:rPr>
                <w:rFonts w:ascii="Arial" w:hAnsi="Arial"/>
                <w:b/>
                <w:i w:val="0"/>
                <w:sz w:val="18"/>
              </w:rPr>
              <w:t>Dividend (~63% payout)</w:t>
            </w:r>
          </w:p>
        </w:tc>
        <w:tc>
          <w:tcPr>
            <w:tcW w:type="dxa" w:w="3300"/>
            <w:shd w:val="clear" w:fill="FAFAFA"/>
          </w:tcPr>
          <w:p>
            <w:r/>
            <w:r>
              <w:rPr>
                <w:rFonts w:ascii="Arial" w:hAnsi="Arial"/>
                <w:b w:val="0"/>
                <w:i w:val="0"/>
                <w:sz w:val="18"/>
              </w:rPr>
              <w:t>at risk of a trim</w:t>
            </w:r>
          </w:p>
        </w:tc>
        <w:tc>
          <w:tcPr>
            <w:tcW w:type="dxa" w:w="3300"/>
            <w:shd w:val="clear" w:fill="FAFAFA"/>
          </w:tcPr>
          <w:p>
            <w:r/>
            <w:r>
              <w:rPr>
                <w:rFonts w:ascii="Arial" w:hAnsi="Arial"/>
                <w:b w:val="0"/>
                <w:i w:val="0"/>
                <w:sz w:val="18"/>
              </w:rPr>
              <w:t>maintained &amp; growing</w:t>
            </w:r>
          </w:p>
        </w:tc>
      </w:tr>
      <w:tr>
        <w:tc>
          <w:tcPr>
            <w:tcW w:type="dxa" w:w="3000"/>
            <w:shd w:val="clear" w:fill="F2F2F2"/>
          </w:tcPr>
          <w:p>
            <w:r/>
            <w:r>
              <w:rPr>
                <w:rFonts w:ascii="Arial" w:hAnsi="Arial"/>
                <w:b/>
                <w:i w:val="0"/>
                <w:sz w:val="18"/>
              </w:rPr>
              <w:t>FY2028E trajectory</w:t>
            </w:r>
          </w:p>
        </w:tc>
        <w:tc>
          <w:tcPr>
            <w:tcW w:type="dxa" w:w="3300"/>
          </w:tcPr>
          <w:p>
            <w:r/>
            <w:r>
              <w:rPr>
                <w:rFonts w:ascii="Arial" w:hAnsi="Arial"/>
                <w:b w:val="0"/>
                <w:i w:val="0"/>
                <w:sz w:val="18"/>
              </w:rPr>
              <w:t>prolonged squeeze; re-rating unlikely</w:t>
            </w:r>
          </w:p>
        </w:tc>
        <w:tc>
          <w:tcPr>
            <w:tcW w:type="dxa" w:w="3300"/>
          </w:tcPr>
          <w:p>
            <w:r/>
            <w:r>
              <w:rPr>
                <w:rFonts w:ascii="Arial" w:hAnsi="Arial"/>
                <w:b w:val="0"/>
                <w:i w:val="0"/>
                <w:sz w:val="18"/>
              </w:rPr>
              <w:t>recovery consolidates; re-rating possible</w:t>
            </w:r>
          </w:p>
        </w:tc>
      </w:tr>
    </w:tbl>
    <w:p>
      <w:pPr>
        <w:spacing w:after="40" w:before="0"/>
      </w:pP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The one-line verdict.  </w:t>
            </w:r>
            <w:r>
              <w:rPr>
                <w:rFonts w:ascii="Arial" w:hAnsi="Arial"/>
                <w:b w:val="0"/>
                <w:i w:val="0"/>
                <w:sz w:val="21"/>
              </w:rPr>
              <w:t>Scenario B is materially better on every metric that matters for the equity. But in BOTH scenarios the dominant variable for the next 12–18 months is NKD execution — funding mix, integration milestones and the European turnaround — not the Strait itself. A good Hormuz outcome with a bad NKD integration is still a poor year; a bad Hormuz outcome with a clean NKD integration is survivable, because the euro layer and value-retail trade-down both cushion the SA squeeze.</w:t>
            </w:r>
          </w:p>
        </w:tc>
      </w:tr>
    </w:tbl>
    <w:p>
      <w:pPr>
        <w:spacing w:after="40" w:before="0"/>
      </w:pPr>
    </w:p>
    <w:p>
      <w:pPr>
        <w:pStyle w:val="Heading1"/>
      </w:pPr>
      <w:r>
        <w:t>7.  Risks, nuances &amp; the downside tail</w:t>
      </w:r>
    </w:p>
    <w:p>
      <w:pPr>
        <w:pStyle w:val="ListBullet"/>
        <w:spacing w:after="80"/>
      </w:pPr>
      <w:r>
        <w:rPr>
          <w:rFonts w:ascii="Arial" w:hAnsi="Arial"/>
          <w:b/>
          <w:i w:val="0"/>
          <w:sz w:val="21"/>
        </w:rPr>
        <w:t xml:space="preserve">NKD is the real swing factor. </w:t>
      </w:r>
      <w:r>
        <w:rPr>
          <w:rFonts w:ascii="Arial" w:hAnsi="Arial"/>
          <w:b w:val="0"/>
          <w:i w:val="0"/>
          <w:sz w:val="21"/>
        </w:rPr>
        <w:t>A ~R9.66bn cross-border turnaround into a soft European consumer carries execution and impairment risk that dwarfs the Hormuz cyclicality. The market signalled scepticism — shares fell 13.7% on announcement.</w:t>
      </w:r>
    </w:p>
    <w:p>
      <w:pPr>
        <w:pStyle w:val="ListBullet"/>
        <w:spacing w:after="80"/>
      </w:pPr>
      <w:r>
        <w:rPr>
          <w:rFonts w:ascii="Arial" w:hAnsi="Arial"/>
          <w:b/>
          <w:i w:val="0"/>
          <w:sz w:val="21"/>
        </w:rPr>
        <w:t xml:space="preserve">Dual-currency complexity. </w:t>
      </w:r>
      <w:r>
        <w:rPr>
          <w:rFonts w:ascii="Arial" w:hAnsi="Arial"/>
          <w:b w:val="0"/>
          <w:i w:val="0"/>
          <w:sz w:val="21"/>
        </w:rPr>
        <w:t>FY2027 is the first “dual-currency” year. EUR/ZAR translation now swings reported growth in both directions; segmental disclosure and any net-investment hedging policy will matter for how cleanly the result reads.</w:t>
      </w:r>
    </w:p>
    <w:p>
      <w:pPr>
        <w:pStyle w:val="ListBullet"/>
        <w:spacing w:after="80"/>
      </w:pPr>
      <w:r>
        <w:rPr>
          <w:rFonts w:ascii="Arial" w:hAnsi="Arial"/>
          <w:b/>
          <w:i w:val="0"/>
          <w:sz w:val="21"/>
        </w:rPr>
        <w:t xml:space="preserve">Margin lag. </w:t>
      </w:r>
      <w:r>
        <w:rPr>
          <w:rFonts w:ascii="Arial" w:hAnsi="Arial"/>
          <w:b w:val="0"/>
          <w:i w:val="0"/>
          <w:sz w:val="21"/>
        </w:rPr>
        <w:t>Forward cover delays — but does not remove — the rand hit to imported input costs; a sustained weak-rand regime in Scenario A bites with a lag into FY2028.</w:t>
      </w:r>
    </w:p>
    <w:p>
      <w:pPr>
        <w:pStyle w:val="ListBullet"/>
        <w:spacing w:after="80"/>
      </w:pPr>
      <w:r>
        <w:rPr>
          <w:rFonts w:ascii="Arial" w:hAnsi="Arial"/>
          <w:b/>
          <w:i w:val="0"/>
          <w:sz w:val="21"/>
        </w:rPr>
        <w:t xml:space="preserve">Credit book. </w:t>
      </w:r>
      <w:r>
        <w:rPr>
          <w:rFonts w:ascii="Arial" w:hAnsi="Arial"/>
          <w:b w:val="0"/>
          <w:i w:val="0"/>
          <w:sz w:val="21"/>
        </w:rPr>
        <w:t>Cash sales are 89.4% of retail, so credit risk is structurally low, but new-account approvals rose +11% in FY2026 — worth watching if a higher-rate, higher-fuel environment stresses the consumer.</w:t>
      </w:r>
    </w:p>
    <w:p>
      <w:pPr>
        <w:pStyle w:val="ListBullet"/>
        <w:spacing w:after="80"/>
      </w:pPr>
      <w:r>
        <w:rPr>
          <w:rFonts w:ascii="Arial" w:hAnsi="Arial"/>
          <w:b/>
          <w:i w:val="0"/>
          <w:sz w:val="21"/>
        </w:rPr>
        <w:t xml:space="preserve">Severe tail. </w:t>
      </w:r>
      <w:r>
        <w:rPr>
          <w:rFonts w:ascii="Arial" w:hAnsi="Arial"/>
          <w:b w:val="0"/>
          <w:i w:val="0"/>
          <w:sz w:val="21"/>
        </w:rPr>
        <w:t>A prolonged closure that pushes the SARB to the ~8.17% path AND a botched NKD integration is the genuine downside combination — margin compression, a higher interest bill, a dividend trim and a possible NKD impairment in the same year.</w:t>
      </w:r>
    </w:p>
    <w:p>
      <w:pPr>
        <w:pStyle w:val="ListBullet"/>
        <w:spacing w:after="80"/>
      </w:pPr>
      <w:r>
        <w:rPr>
          <w:rFonts w:ascii="Arial" w:hAnsi="Arial"/>
          <w:b/>
          <w:i w:val="0"/>
          <w:sz w:val="21"/>
        </w:rPr>
        <w:t xml:space="preserve">Upside tail. </w:t>
      </w:r>
      <w:r>
        <w:rPr>
          <w:rFonts w:ascii="Arial" w:hAnsi="Arial"/>
          <w:b w:val="0"/>
          <w:i w:val="0"/>
          <w:sz w:val="21"/>
        </w:rPr>
        <w:t>A clean reopen + rate-cutting cycle + on-track NKD turnaround is the re-rating case: recovering SA volumes, margin expansion and a credible European growth leg.</w:t>
      </w:r>
    </w:p>
    <w:p>
      <w:pPr>
        <w:pStyle w:val="Heading1"/>
      </w:pPr>
      <w:r>
        <w:t>8.  What to watch (next 12–18 months)</w:t>
      </w:r>
    </w:p>
    <w:p>
      <w:pPr>
        <w:pStyle w:val="ListBullet"/>
        <w:spacing w:after="80"/>
      </w:pPr>
      <w:r>
        <w:rPr>
          <w:rFonts w:ascii="Arial" w:hAnsi="Arial"/>
          <w:b w:val="0"/>
          <w:i w:val="0"/>
          <w:sz w:val="21"/>
        </w:rPr>
        <w:t>Strait of Hormuz status and Brent path — the macro deck has it closed (~day 108 at 17 Jun) but markets pricing a reopening; that tension is the whole question.</w:t>
      </w:r>
    </w:p>
    <w:p>
      <w:pPr>
        <w:pStyle w:val="ListBullet"/>
        <w:spacing w:after="80"/>
      </w:pPr>
      <w:r>
        <w:rPr>
          <w:rFonts w:ascii="Arial" w:hAnsi="Arial"/>
          <w:b w:val="0"/>
          <w:i w:val="0"/>
          <w:sz w:val="21"/>
        </w:rPr>
        <w:t>SARB MPC decisions (next meetings after the 28 May +25bp hike) and the realised repo path vs the ~6.25% / ~8.17% scenario rails.</w:t>
      </w:r>
    </w:p>
    <w:p>
      <w:pPr>
        <w:pStyle w:val="ListBullet"/>
        <w:spacing w:after="80"/>
      </w:pPr>
      <w:r>
        <w:rPr>
          <w:rFonts w:ascii="Arial" w:hAnsi="Arial"/>
          <w:b w:val="0"/>
          <w:i w:val="0"/>
          <w:sz w:val="21"/>
        </w:rPr>
        <w:t>Monthly DMRE fuel prices (inland 95 / diesel) as the real-time read on the consumer's wallet.</w:t>
      </w:r>
    </w:p>
    <w:p>
      <w:pPr>
        <w:pStyle w:val="ListBullet"/>
        <w:spacing w:after="80"/>
      </w:pPr>
      <w:r>
        <w:rPr>
          <w:rFonts w:ascii="Arial" w:hAnsi="Arial"/>
          <w:b w:val="0"/>
          <w:i w:val="0"/>
          <w:sz w:val="21"/>
        </w:rPr>
        <w:t>USD/ZAR and — newly important — EUR/ZAR, which now drives NKD translation.</w:t>
      </w:r>
    </w:p>
    <w:p>
      <w:pPr>
        <w:pStyle w:val="ListBullet"/>
        <w:spacing w:after="80"/>
      </w:pPr>
      <w:r>
        <w:rPr>
          <w:rFonts w:ascii="Arial" w:hAnsi="Arial"/>
          <w:b w:val="0"/>
          <w:i w:val="0"/>
          <w:sz w:val="21"/>
        </w:rPr>
        <w:t>H1 FY2027 interim results (~1 November 2026): the first NKD consolidation, the pro-forma net debt/EBITDA and the FY2027 interest charge.</w:t>
      </w:r>
    </w:p>
    <w:p>
      <w:pPr>
        <w:pStyle w:val="ListBullet"/>
        <w:spacing w:after="80"/>
      </w:pPr>
      <w:r>
        <w:rPr>
          <w:rFonts w:ascii="Arial" w:hAnsi="Arial"/>
          <w:b w:val="0"/>
          <w:i w:val="0"/>
          <w:sz w:val="21"/>
        </w:rPr>
        <w:t>NKD integration milestones, ROCE/return hurdles and whether transaction/integration costs are normalised out of incentive targets.</w:t>
      </w:r>
    </w:p>
    <w:p>
      <w:pPr>
        <w:pStyle w:val="ListBullet"/>
        <w:spacing w:after="80"/>
      </w:pPr>
      <w:r>
        <w:rPr>
          <w:rFonts w:ascii="Arial" w:hAnsi="Arial"/>
          <w:b w:val="0"/>
          <w:i w:val="0"/>
          <w:sz w:val="21"/>
        </w:rPr>
        <w:t>RSP inflation vs unit-sales split (price-led vs volume-led growth) and the cash-vs-credit sales mix.</w:t>
      </w:r>
    </w:p>
    <w:p>
      <w:pPr>
        <w:pStyle w:val="ListBullet"/>
        <w:spacing w:after="80"/>
      </w:pPr>
      <w:r>
        <w:rPr>
          <w:rFonts w:ascii="Arial" w:hAnsi="Arial"/>
          <w:b w:val="0"/>
          <w:i w:val="0"/>
          <w:sz w:val="21"/>
        </w:rPr>
        <w:t>The dividend decision against the ~63% payout policy — a trim would confirm the capital-preservation/deleveraging read.</w:t>
      </w:r>
    </w:p>
    <w:p>
      <w:pPr>
        <w:pStyle w:val="Heading1"/>
      </w:pPr>
      <w:r>
        <w:t>9.  Sources &amp; provenance</w:t>
      </w:r>
    </w:p>
    <w:p>
      <w:pPr>
        <w:spacing w:after="160" w:before="0"/>
      </w:pPr>
      <w:r>
        <w:rPr>
          <w:rFonts w:ascii="Arial" w:hAnsi="Arial"/>
          <w:b w:val="0"/>
          <w:i w:val="0"/>
          <w:sz w:val="21"/>
        </w:rPr>
        <w:t xml:space="preserve">Reported FY2026 actuals are taken verbatim from the cited results; all forward figures and scenario levels are analyst estimates marked </w:t>
      </w:r>
      <w:r>
        <w:rPr>
          <w:rFonts w:ascii="Arial" w:hAnsi="Arial"/>
          <w:b/>
          <w:i w:val="0"/>
          <w:sz w:val="21"/>
        </w:rPr>
        <w:t>(e)</w:t>
      </w:r>
      <w:r>
        <w:rPr>
          <w:rFonts w:ascii="Arial" w:hAnsi="Arial"/>
          <w:b w:val="0"/>
          <w:i w:val="0"/>
          <w:sz w:val="21"/>
        </w:rPr>
        <w:t>. Macro levels are from the shared workspace macro deck (web-sourced 17 Jun 2026, may be delayed/secondary). Binary originals (SENS PDF, AFS, presentation, NKD SENS) are not yet archived locally — logged as coverage gaps in manifest.json for browser backfill.</w:t>
      </w:r>
    </w:p>
    <w:p>
      <w:pPr>
        <w:pStyle w:val="ListBullet"/>
        <w:spacing w:after="80"/>
      </w:pPr>
      <w:r>
        <w:rPr>
          <w:rFonts w:ascii="Arial" w:hAnsi="Arial"/>
          <w:b w:val="0"/>
          <w:i w:val="0"/>
          <w:sz w:val="21"/>
        </w:rPr>
        <w:t xml:space="preserve">S1 — Mr Price FY2026 annual results (SENS, 5 Jun 2026) + official supplementary information. Local: companies/mr-price/annual-reports/mrprice-annual-results-fy2026-20260605.txt. Source PDF: </w:t>
      </w:r>
      <w:hyperlink r:id="rId10">
        <w:r>
          <w:rPr>
            <w:rFonts w:ascii="Arial" w:hAnsi="Arial"/>
            <w:color w:val="0563C1"/>
            <w:u w:val="single"/>
            <w:sz w:val="21"/>
          </w:rPr>
          <w:t>mrpricegroup.com supplementary info FY2026</w:t>
        </w:r>
      </w:hyperlink>
    </w:p>
    <w:p>
      <w:pPr>
        <w:pStyle w:val="ListBullet"/>
        <w:spacing w:after="80"/>
      </w:pPr>
      <w:r>
        <w:rPr>
          <w:rFonts w:ascii="Arial" w:hAnsi="Arial"/>
          <w:b w:val="0"/>
          <w:i w:val="0"/>
          <w:sz w:val="21"/>
        </w:rPr>
        <w:t xml:space="preserve">S2 — FY2026 results SENS (figures, dividend key dates). Sharenet: </w:t>
      </w:r>
      <w:hyperlink r:id="rId11">
        <w:r>
          <w:rPr>
            <w:rFonts w:ascii="Arial" w:hAnsi="Arial"/>
            <w:color w:val="0563C1"/>
            <w:u w:val="single"/>
            <w:sz w:val="21"/>
          </w:rPr>
          <w:t>Sharenet SENS 05/06/2026</w:t>
        </w:r>
      </w:hyperlink>
    </w:p>
    <w:p>
      <w:pPr>
        <w:pStyle w:val="ListBullet"/>
        <w:spacing w:after="80"/>
      </w:pPr>
      <w:r>
        <w:rPr>
          <w:rFonts w:ascii="Arial" w:hAnsi="Arial"/>
          <w:b w:val="0"/>
          <w:i w:val="0"/>
          <w:sz w:val="21"/>
        </w:rPr>
        <w:t xml:space="preserve">S3 — NKD acquisition (~€487m / ~R9.66bn). Local: companies/mr-price/press-releases/mrprice-nkd-acquisition-summary-2025-2026.txt. Source: </w:t>
      </w:r>
      <w:hyperlink r:id="rId12">
        <w:r>
          <w:rPr>
            <w:rFonts w:ascii="Arial" w:hAnsi="Arial"/>
            <w:color w:val="0563C1"/>
            <w:u w:val="single"/>
            <w:sz w:val="21"/>
          </w:rPr>
          <w:t>Daily Investor</w:t>
        </w:r>
      </w:hyperlink>
    </w:p>
    <w:p>
      <w:pPr>
        <w:pStyle w:val="ListBullet"/>
        <w:spacing w:after="80"/>
      </w:pPr>
      <w:r>
        <w:rPr>
          <w:rFonts w:ascii="Arial" w:hAnsi="Arial"/>
          <w:b w:val="0"/>
          <w:i w:val="0"/>
          <w:sz w:val="21"/>
        </w:rPr>
        <w:t>S4 — Internal MRP research note (incentives, rand exposure, capital allocation). Local: companies/mr-price/analyst-notes/mrprice-research-note-2026-2027.docx</w:t>
      </w:r>
    </w:p>
    <w:p>
      <w:pPr>
        <w:pStyle w:val="ListBullet"/>
        <w:spacing w:after="80"/>
      </w:pPr>
      <w:r>
        <w:rPr>
          <w:rFonts w:ascii="Arial" w:hAnsi="Arial"/>
          <w:b w:val="0"/>
          <w:i w:val="0"/>
          <w:sz w:val="21"/>
        </w:rPr>
        <w:t>S5 — Shared macro deck (Hormuz status, Brent, USD/ZAR, SARB repo, fuel). Local: macro/latest.json (web-sourced 17 Jun 2026).</w:t>
      </w:r>
    </w:p>
    <w:p>
      <w:pPr>
        <w:pStyle w:val="ListBullet"/>
        <w:spacing w:after="80"/>
      </w:pPr>
      <w:r>
        <w:rPr>
          <w:rFonts w:ascii="Arial" w:hAnsi="Arial"/>
          <w:b w:val="0"/>
          <w:i w:val="0"/>
          <w:sz w:val="21"/>
        </w:rPr>
        <w:t xml:space="preserve">S6 — Strait of Hormuz status / Brent context (2026 crisis). </w:t>
      </w:r>
      <w:hyperlink r:id="rId13">
        <w:r>
          <w:rPr>
            <w:rFonts w:ascii="Arial" w:hAnsi="Arial"/>
            <w:color w:val="0563C1"/>
            <w:u w:val="single"/>
            <w:sz w:val="21"/>
          </w:rPr>
          <w:t>2026 Strait of Hormuz crisis (Wikipedia)</w:t>
        </w:r>
      </w:hyperlink>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Mr Price Group (MRP) — 12–18m Hormuz Scenario Outlook — Jun 2026 — internal research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rpricegroup.com/wp-content/uploads/2026/06/Supplementary-information-FY2026.pdf" TargetMode="External"/><Relationship Id="rId11" Type="http://schemas.openxmlformats.org/officeDocument/2006/relationships/hyperlink" Target="https://www.sharenet.co.za/v3/sens_display.php?tdate=20260605070500&amp;seq=2" TargetMode="External"/><Relationship Id="rId12" Type="http://schemas.openxmlformats.org/officeDocument/2006/relationships/hyperlink" Target="https://dailyinvestor.com/retail/121204/mr-price-ploughs-ahead-with-controversial-r9-7-billion-purchase/" TargetMode="External"/><Relationship Id="rId13" Type="http://schemas.openxmlformats.org/officeDocument/2006/relationships/hyperlink" Target="https://en.wikipedia.org/wiki/2026_Strait_of_Hormuz_cri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