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40"/>
          <w:szCs w:val="40"/>
        </w:rPr>
        <w:t xml:space="preserve">ANGLO AMERICAN plc</w:t>
      </w:r>
    </w:p>
    <w:p>
      <w:pPr>
        <w:spacing w:after="40"/>
      </w:pPr>
      <w:r>
        <w:rPr>
          <w:color w:val="444444"/>
          <w:sz w:val="22"/>
          <w:szCs w:val="22"/>
        </w:rPr>
        <w:t xml:space="preserve">LSE: AAL  •  JSE: AGL  •  Diversified mining (copper-led)</w:t>
      </w:r>
    </w:p>
    <w:p>
      <w:pPr>
        <w:spacing w:after="40"/>
      </w:pPr>
      <w:r>
        <w:rPr>
          <w:b/>
          <w:bCs/>
          <w:sz w:val="24"/>
          <w:szCs w:val="24"/>
        </w:rPr>
        <w:t xml:space="preserve">12–18 Month Outlook — Strait-of-Hormuz Scenarios, Management Incentives, Key Indicators</w:t>
      </w:r>
    </w:p>
    <w:p>
      <w:pPr>
        <w:spacing w:after="240"/>
      </w:pPr>
      <w:r>
        <w:rPr>
          <w:color w:val="444444"/>
          <w:sz w:val="22"/>
          <w:szCs w:val="22"/>
        </w:rPr>
        <w:t xml:space="preserve">Investment Committee briefing  •  17 June 2026</w:t>
      </w:r>
    </w:p>
    <w:p>
      <w:pPr>
        <w:pBdr>
          <w:bottom w:val="single" w:color="2E74B5" w:sz="6"/>
        </w:pBdr>
        <w:spacing w:after="160"/>
      </w:pPr>
      <w:r>
        <w:rPr>
          <w:sz w:val="2"/>
          <w:szCs w:val="2"/>
        </w:rPr>
        <w:t xml:space="preserve"/>
      </w:r>
    </w:p>
    <w:p>
      <w:pPr>
        <w:pStyle w:val="Heading1"/>
        <w:spacing w:after="160" w:before="280"/>
      </w:pPr>
      <w:r>
        <w:t xml:space="preserve">1.  Executive summary</w:t>
      </w:r>
    </w:p>
    <w:p>
      <w:pPr>
        <w:spacing w:after="120"/>
      </w:pPr>
      <w:r>
        <w:rPr>
          <w:b/>
          <w:bCs/>
          <w:sz w:val="22"/>
          <w:szCs w:val="22"/>
        </w:rPr>
        <w:t xml:space="preserve">The thesis in one line.  </w:t>
      </w:r>
      <w:r>
        <w:rPr>
          <w:sz w:val="22"/>
          <w:szCs w:val="22"/>
        </w:rPr>
        <w:t xml:space="preserve">Anglo American is now a copper-and-premium-iron-ore company that has shed, or is exiting, diamonds (De Beers), PGMs (Valterra demerged May 2025), steelmaking coal and nickel, and is merging with Canada's Teck to become "Anglo Teck" — a top-five copper producer with more than 70% copper exposure. Over the next 12–18 months the equity is, to first order, a leveraged call on the copper price, with premium iron ore the swing factor and a balance sheet that transforms as disposals complete and the Teck deal closes.</w:t>
      </w:r>
    </w:p>
    <w:p>
      <w:pPr>
        <w:spacing w:after="120"/>
      </w:pPr>
      <w:r>
        <w:rPr>
          <w:b/>
          <w:bCs/>
          <w:sz w:val="22"/>
          <w:szCs w:val="22"/>
        </w:rPr>
        <w:t xml:space="preserve">The key, non-obvious insight.  </w:t>
      </w:r>
      <w:r>
        <w:rPr>
          <w:sz w:val="22"/>
          <w:szCs w:val="22"/>
        </w:rPr>
        <w:t xml:space="preserve">At the group EBITDA line, Scenario A (Hormuz stays closed) and Scenario B (Hormuz opens) are surprisingly close in the "contained" case, because a closed strait keeps copper war-bid — supportive, given copper is roughly 62% of segment EBITDA — which largely offsets weaker iron-ore demand and a ~$240–400m (e) energy/diesel cost drag. The real divergences are (1) Scenario A's recession tail (group EBITDA toward ~$4.8bn (e) if the oil shock tips global growth into recession and copper demand finally cracks); (2) the equity multiple / re-rating (B supports a risk-on re-rating, A keeps a risk discount); and (3) the pace of deleveraging and capital return (B enables a faster move to net cash, buybacks and a clean $4.5bn Teck special dividend; A slows it).</w:t>
      </w:r>
    </w:p>
    <w:p>
      <w:pPr>
        <w:spacing w:after="120"/>
      </w:pPr>
      <w:r>
        <w:rPr>
          <w:b/>
          <w:bCs/>
          <w:sz w:val="22"/>
          <w:szCs w:val="22"/>
        </w:rPr>
        <w:t xml:space="preserve">Where the market sits today (mid-June 2026).  </w:t>
      </w:r>
      <w:r>
        <w:rPr>
          <w:sz w:val="22"/>
          <w:szCs w:val="22"/>
        </w:rPr>
        <w:t xml:space="preserve">The market is largely positioned for Scenario B. Brent has already fallen ~40% from its ~$120/bbl March peak to ~$78/bbl, pricing in an imminent reopening (a US–Iran interim deal is scheduled for signing on 19 June 2026 in Switzerland), even though the strait is still physically closed (~Day 108; ~2,000 ships stranded). So Scenario A is the negative surprise versus current pricing — Brent re-spiking toward $120–150/bbl — while Scenario B is largely the consensus already in the price.</w:t>
      </w:r>
    </w:p>
    <w:p>
      <w:pPr>
        <w:spacing w:after="120"/>
      </w:pPr>
      <w:r>
        <w:rPr>
          <w:b/>
          <w:bCs/>
          <w:sz w:val="22"/>
          <w:szCs w:val="22"/>
        </w:rPr>
        <w:t xml:space="preserve">Basis and compliance.  </w:t>
      </w:r>
      <w:r>
        <w:rPr>
          <w:sz w:val="22"/>
          <w:szCs w:val="22"/>
        </w:rPr>
        <w:t xml:space="preserve">Management maintained full-year guidance at the Q1 2026 update (28 April 2026). This memo is for informational purposes only and is not investment advice; Anglo American reports in US dollars; all scenario figures are analyst estimates (e); share and commodity prices obtained via web search may be delayed.</w:t>
      </w:r>
    </w:p>
    <w:p>
      <w:pPr>
        <w:pStyle w:val="Heading2"/>
        <w:spacing w:after="120" w:before="200"/>
      </w:pPr>
      <w:r>
        <w:t xml:space="preserve">Headline: modelled group underlying EBITDA by scenario ($m, analyst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1500"/>
        <w:gridCol w:w="1500"/>
        <w:gridCol w:w="1500"/>
      </w:tblGrid>
      <w:tr>
        <w:trPr>
          <w:tblHeader/>
        </w:trPr>
        <w:tc>
          <w:tcPr>
            <w:tcW w:type="dxa" w:w="486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left"/>
            </w:pPr>
            <w:r>
              <w:rPr>
                <w:b/>
                <w:bCs/>
                <w:sz w:val="20"/>
                <w:szCs w:val="20"/>
              </w:rPr>
              <w:t xml:space="preserve">Scenario</w:t>
            </w:r>
          </w:p>
        </w:tc>
        <w:tc>
          <w:tcPr>
            <w:tcW w:type="dxa" w:w="15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FY2025A</w:t>
            </w:r>
          </w:p>
        </w:tc>
        <w:tc>
          <w:tcPr>
            <w:tcW w:type="dxa" w:w="15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FY2026e</w:t>
            </w:r>
          </w:p>
        </w:tc>
        <w:tc>
          <w:tcPr>
            <w:tcW w:type="dxa" w:w="15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FY2027e</w:t>
            </w:r>
          </w:p>
        </w:tc>
      </w:tr>
      <w:tr>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A — Hormuz stays closed (contained)</w:t>
            </w:r>
          </w:p>
        </w:tc>
        <w:tc>
          <w:tcPr>
            <w:tcW w:type="dxa" w:w="1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6,417</w:t>
            </w:r>
          </w:p>
        </w:tc>
        <w:tc>
          <w:tcPr>
            <w:tcW w:type="dxa" w:w="1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~6,500 (e)</w:t>
            </w:r>
          </w:p>
        </w:tc>
        <w:tc>
          <w:tcPr>
            <w:tcW w:type="dxa" w:w="1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~6,000 (e)</w:t>
            </w:r>
          </w:p>
        </w:tc>
      </w:tr>
      <w:tr>
        <w:tc>
          <w:tcPr>
            <w:tcW w:type="dxa" w:w="48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A — downside tail (closure tips global recession)</w:t>
            </w:r>
          </w:p>
        </w:tc>
        <w:tc>
          <w:tcPr>
            <w:tcW w:type="dxa" w:w="1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6,417</w:t>
            </w:r>
          </w:p>
        </w:tc>
        <w:tc>
          <w:tcPr>
            <w:tcW w:type="dxa" w:w="1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~4,800 (e)</w:t>
            </w:r>
          </w:p>
        </w:tc>
        <w:tc>
          <w:tcPr>
            <w:tcW w:type="dxa" w:w="1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~3,600 (e)</w:t>
            </w:r>
          </w:p>
        </w:tc>
      </w:tr>
      <w:tr>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B — Hormuz opens in weeks (base)</w:t>
            </w:r>
          </w:p>
        </w:tc>
        <w:tc>
          <w:tcPr>
            <w:tcW w:type="dxa" w:w="1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6,417</w:t>
            </w:r>
          </w:p>
        </w:tc>
        <w:tc>
          <w:tcPr>
            <w:tcW w:type="dxa" w:w="1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~7,000 (e)</w:t>
            </w:r>
          </w:p>
        </w:tc>
        <w:tc>
          <w:tcPr>
            <w:tcW w:type="dxa" w:w="1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~6,400 (e)</w:t>
            </w:r>
          </w:p>
        </w:tc>
      </w:tr>
    </w:tbl>
    <w:p>
      <w:pPr>
        <w:spacing w:after="140" w:before="60"/>
      </w:pPr>
      <w:r>
        <w:rPr>
          <w:i/>
          <w:iCs/>
          <w:color w:val="555555"/>
          <w:sz w:val="18"/>
          <w:szCs w:val="18"/>
        </w:rPr>
        <w:t xml:space="preserve">Source: analyst estimates (e) calibrated to the fund's existing Anglo American model; FY2025A per Anglo American FY2025 results (RNS, 20 February 2026).</w:t>
      </w:r>
    </w:p>
    <w:p>
      <w:pPr>
        <w:pStyle w:val="Heading1"/>
        <w:spacing w:after="160" w:before="280"/>
      </w:pPr>
      <w:r>
        <w:t xml:space="preserve">2.  What Anglo American is today (FY2025 snapshot)</w:t>
      </w:r>
    </w:p>
    <w:p>
      <w:pPr>
        <w:spacing w:after="120"/>
      </w:pPr>
      <w:r>
        <w:rPr>
          <w:sz w:val="22"/>
          <w:szCs w:val="22"/>
        </w:rPr>
        <w:t xml:space="preserve">On the numbers, FY2025 was a resilient operating year delivered against a heavy strategic restructuring. Underlying EBITDA rose 1.5% to $6,417m on firm copper and premium iron-ore prices and roughly $1.8bn of run-rate cost savings, even as copper volumes fell ~10% on planned lower grades at Los Bronces and Quellaveco. The ~$3.7bn headline loss is driven by a $2.3bn De Beers impairment — a non-cash mark on an asset being sold, not operating deterioration (cumulative De Beers writedowns are ~$6.8bn over two years). Net debt fell 19% to $8.6bn and attributable free cash flow turned positive at $790m.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300"/>
        <w:gridCol w:w="1300"/>
        <w:gridCol w:w="1250"/>
        <w:gridCol w:w="1250"/>
      </w:tblGrid>
      <w:tr>
        <w:trPr>
          <w:tblHeader/>
        </w:trPr>
        <w:tc>
          <w:tcPr>
            <w:tcW w:type="dxa" w:w="426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left"/>
            </w:pPr>
            <w:r>
              <w:rPr>
                <w:b/>
                <w:bCs/>
                <w:sz w:val="20"/>
                <w:szCs w:val="20"/>
              </w:rPr>
              <w:t xml:space="preserve">Metric</w:t>
            </w:r>
          </w:p>
        </w:tc>
        <w:tc>
          <w:tcPr>
            <w:tcW w:type="dxa" w:w="13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FY2025</w:t>
            </w:r>
          </w:p>
        </w:tc>
        <w:tc>
          <w:tcPr>
            <w:tcW w:type="dxa" w:w="13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FY2024</w:t>
            </w:r>
          </w:p>
        </w:tc>
        <w:tc>
          <w:tcPr>
            <w:tcW w:type="dxa" w:w="125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Change</w:t>
            </w:r>
          </w:p>
        </w:tc>
        <w:tc>
          <w:tcPr>
            <w:tcW w:type="dxa" w:w="125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 chg</w:t>
            </w:r>
          </w:p>
        </w:tc>
      </w:tr>
      <w:tr>
        <w:tc>
          <w:tcPr>
            <w:tcW w:type="dxa" w:w="42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Revenue</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18,546</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17,745</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+801</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+4.5%</w:t>
            </w:r>
          </w:p>
        </w:tc>
      </w:tr>
      <w:tr>
        <w:tc>
          <w:tcPr>
            <w:tcW w:type="dxa" w:w="42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Underlying EBITDA</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6,417</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6,322</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+95</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+1.5%</w:t>
            </w:r>
          </w:p>
        </w:tc>
      </w:tr>
      <w:tr>
        <w:tc>
          <w:tcPr>
            <w:tcW w:type="dxa" w:w="42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Underlying EPS, continuing (cents)</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111</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(31)</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-27.9%</w:t>
            </w:r>
          </w:p>
        </w:tc>
      </w:tr>
      <w:tr>
        <w:tc>
          <w:tcPr>
            <w:tcW w:type="dxa" w:w="42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Attributable profit/(loss), total group</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(3,700)</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(3,100)</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wider</w:t>
            </w:r>
          </w:p>
        </w:tc>
      </w:tr>
      <w:tr>
        <w:tc>
          <w:tcPr>
            <w:tcW w:type="dxa" w:w="42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Capital expenditure</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3,322</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3,935</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(613)</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-15.6%</w:t>
            </w:r>
          </w:p>
        </w:tc>
      </w:tr>
      <w:tr>
        <w:tc>
          <w:tcPr>
            <w:tcW w:type="dxa" w:w="42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Attributable free cash flow</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790</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(209)</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+999</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n/m</w:t>
            </w:r>
          </w:p>
        </w:tc>
      </w:tr>
      <w:tr>
        <w:tc>
          <w:tcPr>
            <w:tcW w:type="dxa" w:w="42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Net debt</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8,571</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10,623</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(2,052)</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-19.3%</w:t>
            </w:r>
          </w:p>
        </w:tc>
      </w:tr>
      <w:tr>
        <w:tc>
          <w:tcPr>
            <w:tcW w:type="dxa" w:w="42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Net debt / EBITDA (x)</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1.3x</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1.7x</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w:t>
            </w:r>
          </w:p>
        </w:tc>
      </w:tr>
      <w:tr>
        <w:tc>
          <w:tcPr>
            <w:tcW w:type="dxa" w:w="42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Total dividend per share (cents)</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64</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(41)</w:t>
            </w:r>
          </w:p>
        </w:tc>
        <w:tc>
          <w:tcPr>
            <w:tcW w:type="dxa" w:w="12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-64.1%</w:t>
            </w:r>
          </w:p>
        </w:tc>
      </w:tr>
      <w:tr>
        <w:tc>
          <w:tcPr>
            <w:tcW w:type="dxa" w:w="42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ROCE (%)</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12.0%</w:t>
            </w:r>
          </w:p>
        </w:tc>
        <w:tc>
          <w:tcPr>
            <w:tcW w:type="dxa" w:w="1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12.0%</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w:t>
            </w:r>
          </w:p>
        </w:tc>
        <w:tc>
          <w:tcPr>
            <w:tcW w:type="dxa" w:w="12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0 bps</w:t>
            </w:r>
          </w:p>
        </w:tc>
      </w:tr>
    </w:tbl>
    <w:p>
      <w:pPr>
        <w:spacing w:after="140" w:before="60"/>
      </w:pPr>
      <w:r>
        <w:rPr>
          <w:i/>
          <w:iCs/>
          <w:color w:val="555555"/>
          <w:sz w:val="18"/>
          <w:szCs w:val="18"/>
        </w:rPr>
        <w:t xml:space="preserve">Source: Anglo American FY2025 results (RNS / preliminary results, 20 February 2026); continuing operations, $m.</w:t>
      </w:r>
    </w:p>
    <w:p>
      <w:pPr>
        <w:pStyle w:val="Heading2"/>
        <w:spacing w:after="120" w:before="200"/>
      </w:pPr>
      <w:r>
        <w:t xml:space="preserve">Where the money is made</w:t>
      </w:r>
    </w:p>
    <w:p>
      <w:pPr>
        <w:spacing w:after="120"/>
      </w:pPr>
      <w:r>
        <w:rPr>
          <w:sz w:val="22"/>
          <w:szCs w:val="22"/>
        </w:rPr>
        <w:t xml:space="preserve">Copper is the engine (~62% of segment EBITDA before central items) with premium iron ore the second pillar; De Beers is a drag in run-off ahead of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350"/>
        <w:gridCol w:w="1350"/>
        <w:gridCol w:w="3300"/>
      </w:tblGrid>
      <w:tr>
        <w:trPr>
          <w:tblHeader/>
        </w:trPr>
        <w:tc>
          <w:tcPr>
            <w:tcW w:type="dxa" w:w="336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left"/>
            </w:pPr>
            <w:r>
              <w:rPr>
                <w:b/>
                <w:bCs/>
                <w:sz w:val="20"/>
                <w:szCs w:val="20"/>
              </w:rPr>
              <w:t xml:space="preserve">Segment</w:t>
            </w:r>
          </w:p>
        </w:tc>
        <w:tc>
          <w:tcPr>
            <w:tcW w:type="dxa" w:w="135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FY2025</w:t>
            </w:r>
          </w:p>
        </w:tc>
        <w:tc>
          <w:tcPr>
            <w:tcW w:type="dxa" w:w="135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FY2024</w:t>
            </w:r>
          </w:p>
        </w:tc>
        <w:tc>
          <w:tcPr>
            <w:tcW w:type="dxa" w:w="33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FY2025 production</w:t>
            </w:r>
          </w:p>
        </w:tc>
      </w:tr>
      <w:tr>
        <w:tc>
          <w:tcPr>
            <w:tcW w:type="dxa" w:w="33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Copper (Chile + Peru)</w:t>
            </w:r>
          </w:p>
        </w:tc>
        <w:tc>
          <w:tcPr>
            <w:tcW w:type="dxa" w:w="13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3,983</w:t>
            </w:r>
          </w:p>
        </w:tc>
        <w:tc>
          <w:tcPr>
            <w:tcW w:type="dxa" w:w="13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3,805</w:t>
            </w:r>
          </w:p>
        </w:tc>
        <w:tc>
          <w:tcPr>
            <w:tcW w:type="dxa" w:w="3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695 kt (-10%)</w:t>
            </w:r>
          </w:p>
        </w:tc>
      </w:tr>
      <w:tr>
        <w:tc>
          <w:tcPr>
            <w:tcW w:type="dxa" w:w="33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Premium Iron Ore (Kumba + Minas-Rio)</w:t>
            </w:r>
          </w:p>
        </w:tc>
        <w:tc>
          <w:tcPr>
            <w:tcW w:type="dxa" w:w="13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2,873</w:t>
            </w:r>
          </w:p>
        </w:tc>
        <w:tc>
          <w:tcPr>
            <w:tcW w:type="dxa" w:w="13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2,655</w:t>
            </w:r>
          </w:p>
        </w:tc>
        <w:tc>
          <w:tcPr>
            <w:tcW w:type="dxa" w:w="3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60.8 Mt (flat)</w:t>
            </w:r>
          </w:p>
        </w:tc>
      </w:tr>
      <w:tr>
        <w:tc>
          <w:tcPr>
            <w:tcW w:type="dxa" w:w="33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Manganese (40% Samancor JV)</w:t>
            </w:r>
          </w:p>
        </w:tc>
        <w:tc>
          <w:tcPr>
            <w:tcW w:type="dxa" w:w="13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127</w:t>
            </w:r>
          </w:p>
        </w:tc>
        <w:tc>
          <w:tcPr>
            <w:tcW w:type="dxa" w:w="13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116</w:t>
            </w:r>
          </w:p>
        </w:tc>
        <w:tc>
          <w:tcPr>
            <w:tcW w:type="dxa" w:w="3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3.0 Mt</w:t>
            </w:r>
          </w:p>
        </w:tc>
      </w:tr>
      <w:tr>
        <w:tc>
          <w:tcPr>
            <w:tcW w:type="dxa" w:w="33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Crop Nutrients (Woodsmith, pre-prod.)</w:t>
            </w:r>
          </w:p>
        </w:tc>
        <w:tc>
          <w:tcPr>
            <w:tcW w:type="dxa" w:w="13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(66)</w:t>
            </w:r>
          </w:p>
        </w:tc>
        <w:tc>
          <w:tcPr>
            <w:tcW w:type="dxa" w:w="135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(34)</w:t>
            </w:r>
          </w:p>
        </w:tc>
        <w:tc>
          <w:tcPr>
            <w:tcW w:type="dxa" w:w="33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De Beers (in disposal)</w:t>
            </w:r>
          </w:p>
        </w:tc>
        <w:tc>
          <w:tcPr>
            <w:tcW w:type="dxa" w:w="13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(511)</w:t>
            </w:r>
          </w:p>
        </w:tc>
        <w:tc>
          <w:tcPr>
            <w:tcW w:type="dxa" w:w="135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(25)</w:t>
            </w:r>
          </w:p>
        </w:tc>
        <w:tc>
          <w:tcPr>
            <w:tcW w:type="dxa" w:w="33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incl. $2.3bn impairment</w:t>
            </w:r>
          </w:p>
        </w:tc>
      </w:tr>
      <w:tr>
        <w:tc>
          <w:tcPr>
            <w:tcW w:type="dxa" w:w="3360"/>
            <w:tcBorders>
              <w:top w:val="single" w:color="CCCCCC" w:sz="1"/>
              <w:left w:val="single" w:color="CCCCCC" w:sz="1"/>
              <w:bottom w:val="single" w:color="CCCCCC" w:sz="1"/>
              <w:right w:val="single" w:color="CCCCCC" w:sz="1"/>
            </w:tcBorders>
            <w:shd w:fill="E2EAF2" w:val="clear"/>
            <w:tcMar>
              <w:top w:type="dxa" w:w="50"/>
              <w:left w:type="dxa" w:w="110"/>
              <w:bottom w:type="dxa" w:w="50"/>
              <w:right w:type="dxa" w:w="110"/>
            </w:tcMar>
            <w:vAlign w:val="center"/>
          </w:tcPr>
          <w:p>
            <w:pPr>
              <w:jc w:val="left"/>
            </w:pPr>
            <w:r>
              <w:rPr>
                <w:b/>
                <w:bCs/>
                <w:sz w:val="20"/>
                <w:szCs w:val="20"/>
              </w:rPr>
              <w:t xml:space="preserve">Group underlying EBITDA</w:t>
            </w:r>
          </w:p>
        </w:tc>
        <w:tc>
          <w:tcPr>
            <w:tcW w:type="dxa" w:w="1350"/>
            <w:tcBorders>
              <w:top w:val="single" w:color="CCCCCC" w:sz="1"/>
              <w:left w:val="single" w:color="CCCCCC" w:sz="1"/>
              <w:bottom w:val="single" w:color="CCCCCC" w:sz="1"/>
              <w:right w:val="single" w:color="CCCCCC" w:sz="1"/>
            </w:tcBorders>
            <w:shd w:fill="E2EAF2" w:val="clear"/>
            <w:tcMar>
              <w:top w:type="dxa" w:w="50"/>
              <w:left w:type="dxa" w:w="110"/>
              <w:bottom w:type="dxa" w:w="50"/>
              <w:right w:type="dxa" w:w="110"/>
            </w:tcMar>
            <w:vAlign w:val="center"/>
          </w:tcPr>
          <w:p>
            <w:pPr>
              <w:jc w:val="right"/>
            </w:pPr>
            <w:r>
              <w:rPr>
                <w:b/>
                <w:bCs/>
                <w:sz w:val="20"/>
                <w:szCs w:val="20"/>
              </w:rPr>
              <w:t xml:space="preserve">6,417</w:t>
            </w:r>
          </w:p>
        </w:tc>
        <w:tc>
          <w:tcPr>
            <w:tcW w:type="dxa" w:w="1350"/>
            <w:tcBorders>
              <w:top w:val="single" w:color="CCCCCC" w:sz="1"/>
              <w:left w:val="single" w:color="CCCCCC" w:sz="1"/>
              <w:bottom w:val="single" w:color="CCCCCC" w:sz="1"/>
              <w:right w:val="single" w:color="CCCCCC" w:sz="1"/>
            </w:tcBorders>
            <w:shd w:fill="E2EAF2" w:val="clear"/>
            <w:tcMar>
              <w:top w:type="dxa" w:w="50"/>
              <w:left w:type="dxa" w:w="110"/>
              <w:bottom w:type="dxa" w:w="50"/>
              <w:right w:type="dxa" w:w="110"/>
            </w:tcMar>
            <w:vAlign w:val="center"/>
          </w:tcPr>
          <w:p>
            <w:pPr>
              <w:jc w:val="right"/>
            </w:pPr>
            <w:r>
              <w:rPr>
                <w:b/>
                <w:bCs/>
                <w:sz w:val="20"/>
                <w:szCs w:val="20"/>
              </w:rPr>
              <w:t xml:space="preserve">6,322</w:t>
            </w:r>
          </w:p>
        </w:tc>
        <w:tc>
          <w:tcPr>
            <w:tcW w:type="dxa" w:w="3300"/>
            <w:tcBorders>
              <w:top w:val="single" w:color="CCCCCC" w:sz="1"/>
              <w:left w:val="single" w:color="CCCCCC" w:sz="1"/>
              <w:bottom w:val="single" w:color="CCCCCC" w:sz="1"/>
              <w:right w:val="single" w:color="CCCCCC" w:sz="1"/>
            </w:tcBorders>
            <w:shd w:fill="E2EAF2" w:val="clear"/>
            <w:tcMar>
              <w:top w:type="dxa" w:w="50"/>
              <w:left w:type="dxa" w:w="110"/>
              <w:bottom w:type="dxa" w:w="50"/>
              <w:right w:type="dxa" w:w="110"/>
            </w:tcMar>
            <w:vAlign w:val="center"/>
          </w:tcPr>
          <w:p>
            <w:pPr>
              <w:jc w:val="right"/>
            </w:pPr>
            <w:r>
              <w:rPr>
                <w:b/>
                <w:bCs/>
                <w:sz w:val="20"/>
                <w:szCs w:val="20"/>
              </w:rPr>
              <w:t xml:space="preserve"/>
            </w:r>
          </w:p>
        </w:tc>
      </w:tr>
    </w:tbl>
    <w:p>
      <w:pPr>
        <w:spacing w:after="140" w:before="60"/>
      </w:pPr>
      <w:r>
        <w:rPr>
          <w:i/>
          <w:iCs/>
          <w:color w:val="555555"/>
          <w:sz w:val="18"/>
          <w:szCs w:val="18"/>
        </w:rPr>
        <w:t xml:space="preserve">Source: Anglo American FY2025 results (RNS, 20 February 2026); underlying EBITDA, $m.</w:t>
      </w:r>
    </w:p>
    <w:p>
      <w:pPr>
        <w:pStyle w:val="Heading2"/>
        <w:spacing w:after="120" w:before="200"/>
      </w:pPr>
      <w:r>
        <w:t xml:space="preserve">Portfolio in motion (mid-2026)</w:t>
      </w:r>
    </w:p>
    <w:p>
      <w:pPr>
        <w:spacing w:after="120"/>
      </w:pPr>
      <w:r>
        <w:rPr>
          <w:sz w:val="22"/>
          <w:szCs w:val="22"/>
        </w:rPr>
        <w:t xml:space="preserve">PGMs were demerged as Valterra Platinum (May 2025) and the residual stake sold (September 2025). The steelmaking-coal sale to Peabody collapsed after the Moranbah North fire (now in arbitration); Anglo agreed on 18 May 2026 to sell the coal mines to Dhilmar for up to $3.88bn. Nickel is being sold to MMG (up to $500m). De Beers (~85% held) is in a formal sale process, the lead bidder a consortium led by former De Beers MD Gareth Penny and backed by Qatari funds (including Mayhoola and Al Mirqab); CEO Duncan Wanblad is "optimistic" of signing in 2026, targeted around H2 2026. Woodsmith (crop nutrients) has been slowed to ~$0.25bn/yr with Mitsubishi taking up to 25%, and a final investment decision is not expected before 2028. 2026 copper guidance was trimmed to 700,000–760,000 t (from 760,000–820,000 t) on lower Collahuasi output, partly offset by a temporary second-plant restart at Los Bronces.</w:t>
      </w:r>
    </w:p>
    <w:p>
      <w:pPr>
        <w:pStyle w:val="Heading1"/>
        <w:spacing w:after="160" w:before="280"/>
      </w:pPr>
      <w:r>
        <w:t xml:space="preserve">3.  The 12–18 month outlook</w:t>
      </w:r>
    </w:p>
    <w:p>
      <w:pPr>
        <w:spacing w:after="120"/>
      </w:pPr>
      <w:r>
        <w:rPr>
          <w:sz w:val="22"/>
          <w:szCs w:val="22"/>
        </w:rPr>
        <w:t xml:space="preserve">The dominant strategic event in the window is the Anglo Teck merger — announced 9 September 2025 as a merger of equals, all-share (1.3301 Anglo shares per Teck share; Anglo holders ~62.4% / Teck ~37.6%). It creates Anglo Teck (HQ Vancouver, primary-listed London), with ~$800m/yr run-rate synergies (~80% by year two; ~$700m one-off cost to achieve), combined copper of ~1.2Mt rising to ~1.35Mt by 2027 (&gt;70% of group). A $4.5bn special dividend (~$4.19/share) goes to Anglo holders ahead of completion.</w:t>
      </w:r>
    </w:p>
    <w:p>
      <w:pPr>
        <w:spacing w:after="120"/>
      </w:pPr>
      <w:r>
        <w:rPr>
          <w:sz w:val="22"/>
          <w:szCs w:val="22"/>
        </w:rPr>
        <w:t xml:space="preserve">Approvals are largely secured: from shareholders (Teck 99.7% of Class A and 89.7% of Class B), the BC Supreme Court, the Investment Canada Act and South Korea. China (SAMR) antitrust is the last major clearance, with final clearance guided for September 2026–March 2027 — squarely within the outlook window, so we treat completion as base case rather than optionality. De Beers, coal (Dhilmar) and nickel (MMG) completions also fall within the window.</w:t>
      </w:r>
    </w:p>
    <w:p>
      <w:pPr>
        <w:pStyle w:val="Heading2"/>
        <w:spacing w:after="120" w:before="200"/>
      </w:pPr>
      <w:r>
        <w:t xml:space="preserve">Scenario inputs (analyst estimates, editable in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left"/>
            </w:pPr>
            <w:r>
              <w:rPr>
                <w:b/>
                <w:bCs/>
                <w:sz w:val="20"/>
                <w:szCs w:val="20"/>
              </w:rPr>
              <w:t xml:space="preserve">Assumption</w:t>
            </w:r>
          </w:p>
        </w:tc>
        <w:tc>
          <w:tcPr>
            <w:tcW w:type="dxa" w:w="30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Scenario A — Hormuz closed</w:t>
            </w:r>
          </w:p>
        </w:tc>
        <w:tc>
          <w:tcPr>
            <w:tcW w:type="dxa" w:w="30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Scenario B — Hormuz opens</w:t>
            </w:r>
          </w:p>
        </w:tc>
      </w:tr>
      <w:tr>
        <w:tc>
          <w:tcPr>
            <w:tcW w:type="dxa" w:w="33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Brent oil (avg $/bbl), FY2026</w:t>
            </w:r>
          </w:p>
        </w:tc>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120 (re-spike; $150 tail)</w:t>
            </w:r>
          </w:p>
        </w:tc>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72</w:t>
            </w:r>
          </w:p>
        </w:tc>
      </w:tr>
      <w:tr>
        <w:tc>
          <w:tcPr>
            <w:tcW w:type="dxa" w:w="33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Copper ($/t), FY2026</w:t>
            </w:r>
          </w:p>
        </w:tc>
        <w:tc>
          <w:tcPr>
            <w:tcW w:type="dxa" w:w="3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13,500 (war bid persists)</w:t>
            </w:r>
          </w:p>
        </w:tc>
        <w:tc>
          <w:tcPr>
            <w:tcW w:type="dxa" w:w="3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11,500 (premium unwinds)</w:t>
            </w:r>
          </w:p>
        </w:tc>
      </w:tr>
      <w:tr>
        <w:tc>
          <w:tcPr>
            <w:tcW w:type="dxa" w:w="33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Iron ore 62% Fe ($/t), FY2026</w:t>
            </w:r>
          </w:p>
        </w:tc>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75 (demand hit)</w:t>
            </w:r>
          </w:p>
        </w:tc>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95</w:t>
            </w:r>
          </w:p>
        </w:tc>
      </w:tr>
      <w:tr>
        <w:tc>
          <w:tcPr>
            <w:tcW w:type="dxa" w:w="33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USD/ZAR</w:t>
            </w:r>
          </w:p>
        </w:tc>
        <w:tc>
          <w:tcPr>
            <w:tcW w:type="dxa" w:w="3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17.5 (risk-off, weak rand)</w:t>
            </w:r>
          </w:p>
        </w:tc>
        <w:tc>
          <w:tcPr>
            <w:tcW w:type="dxa" w:w="3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16.5 (risk-on)</w:t>
            </w:r>
          </w:p>
        </w:tc>
      </w:tr>
      <w:tr>
        <w:tc>
          <w:tcPr>
            <w:tcW w:type="dxa" w:w="33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Copper volume vs guidance</w:t>
            </w:r>
          </w:p>
        </w:tc>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mid (700–760 kt)</w:t>
            </w:r>
          </w:p>
        </w:tc>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mid-to-top</w:t>
            </w:r>
          </w:p>
        </w:tc>
      </w:tr>
      <w:tr>
        <w:tc>
          <w:tcPr>
            <w:tcW w:type="dxa" w:w="33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Global growth</w:t>
            </w:r>
          </w:p>
        </w:tc>
        <w:tc>
          <w:tcPr>
            <w:tcW w:type="dxa" w:w="3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slowdown; recession tail</w:t>
            </w:r>
          </w:p>
        </w:tc>
        <w:tc>
          <w:tcPr>
            <w:tcW w:type="dxa" w:w="3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resilient</w:t>
            </w:r>
          </w:p>
        </w:tc>
      </w:tr>
    </w:tbl>
    <w:p>
      <w:pPr>
        <w:pStyle w:val="Heading2"/>
        <w:spacing w:after="120" w:before="200"/>
      </w:pPr>
      <w:r>
        <w:t xml:space="preserve">Scenario financials (group, $m unless noted, analyst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left"/>
            </w:pPr>
            <w:r>
              <w:rPr>
                <w:b/>
                <w:bCs/>
                <w:sz w:val="20"/>
                <w:szCs w:val="20"/>
              </w:rPr>
              <w:t xml:space="preserve">Metric</w:t>
            </w:r>
          </w:p>
        </w:tc>
        <w:tc>
          <w:tcPr>
            <w:tcW w:type="dxa" w:w="132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FY2025A</w:t>
            </w:r>
          </w:p>
        </w:tc>
        <w:tc>
          <w:tcPr>
            <w:tcW w:type="dxa" w:w="132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A FY2026e</w:t>
            </w:r>
          </w:p>
        </w:tc>
        <w:tc>
          <w:tcPr>
            <w:tcW w:type="dxa" w:w="132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A FY2027e</w:t>
            </w:r>
          </w:p>
        </w:tc>
        <w:tc>
          <w:tcPr>
            <w:tcW w:type="dxa" w:w="132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B FY2026e</w:t>
            </w:r>
          </w:p>
        </w:tc>
        <w:tc>
          <w:tcPr>
            <w:tcW w:type="dxa" w:w="132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B FY2027e</w:t>
            </w:r>
          </w:p>
        </w:tc>
      </w:tr>
      <w:tr>
        <w:tc>
          <w:tcPr>
            <w:tcW w:type="dxa" w:w="27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Underlying EBITDA</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6,417</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6,500</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6,000</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7,000</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6,360</w:t>
            </w:r>
          </w:p>
        </w:tc>
      </w:tr>
      <w:tr>
        <w:tc>
          <w:tcPr>
            <w:tcW w:type="dxa" w:w="27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Attributable free cash flow</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790</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650</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700</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900</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1,164</w:t>
            </w:r>
          </w:p>
        </w:tc>
      </w:tr>
      <w:tr>
        <w:tc>
          <w:tcPr>
            <w:tcW w:type="dxa" w:w="27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Net debt / (net cash)</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8,571</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4,800</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3,800</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4,100</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520</w:t>
            </w:r>
          </w:p>
        </w:tc>
      </w:tr>
      <w:tr>
        <w:tc>
          <w:tcPr>
            <w:tcW w:type="dxa" w:w="27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Net debt / EBITDA</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1.3x</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0.7x</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0.6x</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0.6x</w:t>
            </w:r>
          </w:p>
        </w:tc>
        <w:tc>
          <w:tcPr>
            <w:tcW w:type="dxa" w:w="132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0.1x</w:t>
            </w:r>
          </w:p>
        </w:tc>
      </w:tr>
      <w:tr>
        <w:tc>
          <w:tcPr>
            <w:tcW w:type="dxa" w:w="27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Underlying EPS (cents)</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80</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84</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78</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96</w:t>
            </w:r>
          </w:p>
        </w:tc>
        <w:tc>
          <w:tcPr>
            <w:tcW w:type="dxa" w:w="132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85</w:t>
            </w:r>
          </w:p>
        </w:tc>
      </w:tr>
    </w:tbl>
    <w:p>
      <w:pPr>
        <w:spacing w:after="140" w:before="60"/>
      </w:pPr>
      <w:r>
        <w:rPr>
          <w:i/>
          <w:iCs/>
          <w:color w:val="555555"/>
          <w:sz w:val="18"/>
          <w:szCs w:val="18"/>
        </w:rPr>
        <w:t xml:space="preserve">All forecasts are analyst estimates (e), calibrated to the fund's existing Anglo model; standalone Anglo American plc before the Teck special dividend. FCF is after capex, cash tax, net interest and minorities.</w:t>
      </w:r>
    </w:p>
    <w:p>
      <w:pPr>
        <w:spacing w:after="120"/>
      </w:pPr>
      <w:r>
        <w:rPr>
          <w:b/>
          <w:bCs/>
          <w:sz w:val="22"/>
          <w:szCs w:val="22"/>
        </w:rPr>
        <w:t xml:space="preserve">Reading the cases.  </w:t>
      </w:r>
      <w:r>
        <w:rPr>
          <w:sz w:val="22"/>
          <w:szCs w:val="22"/>
        </w:rPr>
        <w:t xml:space="preserve">In A's contained case, war-elevated copper (~$13,500/t) offsets weaker iron ore (~$75/t) and a ~$240–400m (e) cost drag, so group EBITDA holds near base — the danger is the recession tail, where copper finally cracks and EBITDA falls toward ~$4.8bn (e). In B, the copper war-premium unwinds (copper eases toward ~$11,500/t — a near-term price headwind), but cost relief, firmer iron-ore demand, faster deleveraging and Teck completion dominate: a "keep-compounding-and-deleveraging" outcome.</w:t>
      </w:r>
    </w:p>
    <w:p>
      <w:pPr>
        <w:pStyle w:val="Heading1"/>
        <w:spacing w:after="160" w:before="280"/>
      </w:pPr>
      <w:r>
        <w:t xml:space="preserve">4.  Risks identified by management (ranked by impact over the window)</w:t>
      </w:r>
    </w:p>
    <w:p>
      <w:pPr>
        <w:pStyle w:val="ListParagraph"/>
        <w:numPr>
          <w:ilvl w:val="0"/>
          <w:numId w:val="2"/>
        </w:numPr>
        <w:spacing w:after="80"/>
      </w:pPr>
      <w:r>
        <w:rPr>
          <w:sz w:val="22"/>
          <w:szCs w:val="22"/>
        </w:rPr>
        <w:t xml:space="preserve">Copper price — the single largest sensitivity, ~$730m group EBITDA per $1,000/t move. Concentration rises post-Teck (&gt;70% copper), so diversification no longer cushions a copper downcycle.</w:t>
      </w:r>
    </w:p>
    <w:p>
      <w:pPr>
        <w:pStyle w:val="ListParagraph"/>
        <w:numPr>
          <w:ilvl w:val="0"/>
          <w:numId w:val="2"/>
        </w:numPr>
        <w:spacing w:after="80"/>
      </w:pPr>
      <w:r>
        <w:rPr>
          <w:sz w:val="22"/>
          <w:szCs w:val="22"/>
        </w:rPr>
        <w:t xml:space="preserve">Iron-ore structural downtrend — forecasters see 62% Fe falling on the Simandou supply ramp and soft Chinese steel/property; ~$570m EBITDA per $10/t. Kumba also carries SA logistics risk.</w:t>
      </w:r>
    </w:p>
    <w:p>
      <w:pPr>
        <w:pStyle w:val="ListParagraph"/>
        <w:numPr>
          <w:ilvl w:val="0"/>
          <w:numId w:val="2"/>
        </w:numPr>
        <w:spacing w:after="80"/>
      </w:pPr>
      <w:r>
        <w:rPr>
          <w:sz w:val="22"/>
          <w:szCs w:val="22"/>
        </w:rPr>
        <w:t xml:space="preserve">Energy &amp; demand shock from the Iran war / Hormuz (see Section 6) — a diesel/power cost drag plus the global-demand tail.</w:t>
      </w:r>
    </w:p>
    <w:p>
      <w:pPr>
        <w:pStyle w:val="ListParagraph"/>
        <w:numPr>
          <w:ilvl w:val="0"/>
          <w:numId w:val="2"/>
        </w:numPr>
        <w:spacing w:after="80"/>
      </w:pPr>
      <w:r>
        <w:rPr>
          <w:sz w:val="22"/>
          <w:szCs w:val="22"/>
        </w:rPr>
        <w:t xml:space="preserve">Anglo Teck completion &amp; integration — China antitrust is the last major clearance; a block, remedy or delay would be material. Plus integration risk, the $4.5bn special-dividend outflow and synergy delivery.</w:t>
      </w:r>
    </w:p>
    <w:p>
      <w:pPr>
        <w:pStyle w:val="ListParagraph"/>
        <w:numPr>
          <w:ilvl w:val="0"/>
          <w:numId w:val="2"/>
        </w:numPr>
        <w:spacing w:after="80"/>
      </w:pPr>
      <w:r>
        <w:rPr>
          <w:sz w:val="22"/>
          <w:szCs w:val="22"/>
        </w:rPr>
        <w:t xml:space="preserve">De Beers disposal &amp; diamond market — rough prices fell ~19% YoY in Q1 2026 with lab-grown share rising; realising fair value and timing are uncertain.</w:t>
      </w:r>
    </w:p>
    <w:p>
      <w:pPr>
        <w:pStyle w:val="ListParagraph"/>
        <w:numPr>
          <w:ilvl w:val="0"/>
          <w:numId w:val="2"/>
        </w:numPr>
        <w:spacing w:after="80"/>
      </w:pPr>
      <w:r>
        <w:rPr>
          <w:sz w:val="22"/>
          <w:szCs w:val="22"/>
        </w:rPr>
        <w:t xml:space="preserve">South African logistics &amp; power — Transnet rail/port constraints cap Kumba exports; Eskom reliability, water, community and Mining Charter/BEE factors; rand volatility.</w:t>
      </w:r>
    </w:p>
    <w:p>
      <w:pPr>
        <w:pStyle w:val="ListParagraph"/>
        <w:numPr>
          <w:ilvl w:val="0"/>
          <w:numId w:val="2"/>
        </w:numPr>
        <w:spacing w:after="80"/>
      </w:pPr>
      <w:r>
        <w:rPr>
          <w:sz w:val="22"/>
          <w:szCs w:val="22"/>
        </w:rPr>
        <w:t xml:space="preserve">Coal-exit execution — Dhilmar completion, the Peabody arbitration, and the Moranbah North restart.</w:t>
      </w:r>
    </w:p>
    <w:p>
      <w:pPr>
        <w:pStyle w:val="ListParagraph"/>
        <w:numPr>
          <w:ilvl w:val="0"/>
          <w:numId w:val="2"/>
        </w:numPr>
        <w:spacing w:after="80"/>
      </w:pPr>
      <w:r>
        <w:rPr>
          <w:sz w:val="22"/>
          <w:szCs w:val="22"/>
        </w:rPr>
        <w:t xml:space="preserve">Balance sheet &amp; dividend — net debt of $8.6bn; the recession tail would force a dividend cut. Disposal proceeds are the key de-risking lever.</w:t>
      </w:r>
    </w:p>
    <w:p>
      <w:pPr>
        <w:pStyle w:val="Heading1"/>
        <w:spacing w:after="160" w:before="280"/>
      </w:pPr>
      <w:r>
        <w:t xml:space="preserve">5.  Management's incentives</w:t>
      </w:r>
    </w:p>
    <w:p>
      <w:pPr>
        <w:spacing w:after="120"/>
      </w:pPr>
      <w:r>
        <w:rPr>
          <w:sz w:val="22"/>
          <w:szCs w:val="22"/>
        </w:rPr>
        <w:t xml:space="preserve">A new 2026 directors' remuneration policy was approved at the AGM on 29 April 2026 — after the board withdrew a contested proposal to enhance the 2024/2025 LTIP awards for CEO Duncan Wanblad linked to the Teck merger (a shareholder "pay row"), opting to consult and bring a revised policy.</w:t>
      </w:r>
    </w:p>
    <w:p>
      <w:pPr>
        <w:spacing w:after="120"/>
      </w:pPr>
      <w:r>
        <w:rPr>
          <w:sz w:val="22"/>
          <w:szCs w:val="22"/>
        </w:rPr>
        <w:t xml:space="preserve">The annual bonus is capped at 210% of salary, tied to financial goals, strategic priorities and business needs; half of any bonus is deferred into shares (one-third vesting after two years, two-thirds after three). The LTIP carries annual awards of up to 300% of salary, vesting after three years on stretching performance conditions, then a further two-year holding period. In May 2026 Anglo granted nil-cost LTIP awards at a £34.34 reference price (Wanblad received 187,954 shares), with conditional vesting in March 2029 and release in March 2031.</w:t>
      </w:r>
    </w:p>
    <w:p>
      <w:pPr>
        <w:spacing w:after="120"/>
      </w:pPr>
      <w:r>
        <w:rPr>
          <w:b/>
          <w:bCs/>
          <w:sz w:val="22"/>
          <w:szCs w:val="22"/>
        </w:rPr>
        <w:t xml:space="preserve">Interpretation (the analyst's read).  </w:t>
      </w:r>
      <w:r>
        <w:rPr>
          <w:sz w:val="22"/>
          <w:szCs w:val="22"/>
        </w:rPr>
        <w:t xml:space="preserve">Pay is heavily equity-weighted and long-dated (vesting/holding to 2029–2031), which aligns the executive with (a) sustained copper delivery and price, (b) successful completion and synergy capture from Anglo Teck, and (c) disciplined disposal execution and balance-sheet repair — the exact levers that drive the 12–18 month thesis. The withdrawn Teck-linked enhancement shows the board explicitly tilting incentives toward deal completion; continued pay and governance scrutiny is itself a watch item.</w:t>
      </w:r>
    </w:p>
    <w:p>
      <w:pPr>
        <w:pStyle w:val="Heading1"/>
        <w:spacing w:after="160" w:before="280"/>
      </w:pPr>
      <w:r>
        <w:t xml:space="preserve">6.  The Strait of Hormuz: Scenario A vs Scenario B</w:t>
      </w:r>
    </w:p>
    <w:p>
      <w:pPr>
        <w:spacing w:after="120"/>
      </w:pPr>
      <w:r>
        <w:rPr>
          <w:sz w:val="22"/>
          <w:szCs w:val="22"/>
        </w:rPr>
        <w:t xml:space="preserve">War began on 28 February 2026 (US/Israeli strikes on Iran); Iran disrupted the Strait of Hormuz (~20% of seaborne oil, ~13m bpd). Brent rose from ~$72/bbl pre-war to ~$118–120 in March (physical cargoes to ~$130–150), then eased to ~$78 by mid-June on a US–Iran interim deal (signing scheduled 19 June 2026 in Switzerland; a naval-blockade lifting ordered) — though the strait remains physically closed (~Day 108; ~2,000 ships stranded; flow "weeks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4000"/>
        <w:gridCol w:w="3500"/>
      </w:tblGrid>
      <w:tr>
        <w:trPr>
          <w:tblHeader/>
        </w:trPr>
        <w:tc>
          <w:tcPr>
            <w:tcW w:type="dxa" w:w="186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left"/>
            </w:pPr>
            <w:r>
              <w:rPr>
                <w:b/>
                <w:bCs/>
                <w:sz w:val="20"/>
                <w:szCs w:val="20"/>
              </w:rPr>
              <w:t xml:space="preserve">Channel</w:t>
            </w:r>
          </w:p>
        </w:tc>
        <w:tc>
          <w:tcPr>
            <w:tcW w:type="dxa" w:w="40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Mechanism</w:t>
            </w:r>
          </w:p>
        </w:tc>
        <w:tc>
          <w:tcPr>
            <w:tcW w:type="dxa" w:w="35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Read for Anglo</w:t>
            </w:r>
          </w:p>
        </w:tc>
      </w:tr>
      <w:tr>
        <w:tc>
          <w:tcPr>
            <w:tcW w:type="dxa" w:w="18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Energy &amp; diesel cost</w:t>
            </w:r>
          </w:p>
        </w:tc>
        <w:tc>
          <w:tcPr>
            <w:tcW w:type="dxa" w:w="4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Diesel + power are a large slice of open-pit cash cost (read-across Rio: +$10/bbl ≈ +$0.15/t iron-ore cost; copper haulage more diesel-intensive)</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Negative, modest. ~$240m (e) group cost drag at sustained Brent $120 (FY2026e), more at $150 — ~3–5% of EBITDA</w:t>
            </w:r>
          </w:p>
        </w:tc>
      </w:tr>
      <w:tr>
        <w:tc>
          <w:tcPr>
            <w:tcW w:type="dxa" w:w="18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Freight &amp; insurance</w:t>
            </w:r>
          </w:p>
        </w:tc>
        <w:tc>
          <w:tcPr>
            <w:tcW w:type="dxa" w:w="4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Gulf war-risk premiums spiked from ~0.25% to 3–8% of hull value; bulk routing/insurance costs rise</w:t>
            </w:r>
          </w:p>
        </w:tc>
        <w:tc>
          <w:tcPr>
            <w:tcW w:type="dxa" w:w="3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Negative, small for Anglo's trade lanes (Chile/Brazil/SA do not transit Hormuz)</w:t>
            </w:r>
          </w:p>
        </w:tc>
      </w:tr>
      <w:tr>
        <w:tc>
          <w:tcPr>
            <w:tcW w:type="dxa" w:w="18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Global growth / demand</w:t>
            </w:r>
          </w:p>
        </w:tc>
        <w:tc>
          <w:tcPr>
            <w:tcW w:type="dxa" w:w="4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An oil shock cuts industrial activity; sustained ~$110 Brent could trim FY2026 copper-demand growth ~1.4ppts; iron ore most China-sensitive</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Negative, LARGE — this is the recession tail. Iron ore most exposed; copper more resilient</w:t>
            </w:r>
          </w:p>
        </w:tc>
      </w:tr>
      <w:tr>
        <w:tc>
          <w:tcPr>
            <w:tcW w:type="dxa" w:w="18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Inflation → rates → USD</w:t>
            </w:r>
          </w:p>
        </w:tc>
        <w:tc>
          <w:tcPr>
            <w:tcW w:type="dxa" w:w="4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Oil-driven inflation keeps rates higher and the USD firmer — a headwind for $-priced metals</w:t>
            </w:r>
          </w:p>
        </w:tc>
        <w:tc>
          <w:tcPr>
            <w:tcW w:type="dxa" w:w="3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Negative at the margin for copper/iron-ore prices</w:t>
            </w:r>
          </w:p>
        </w:tc>
      </w:tr>
      <w:tr>
        <w:tc>
          <w:tcPr>
            <w:tcW w:type="dxa" w:w="18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ZAR weakness</w:t>
            </w:r>
          </w:p>
        </w:tc>
        <w:tc>
          <w:tcPr>
            <w:tcW w:type="dxa" w:w="40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Risk-off lifts USD/ZAR; a weaker rand lowers $-translated SA costs</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Partial offset for Kumba / SA cost base (Anglo reports in USD)</w:t>
            </w:r>
          </w:p>
        </w:tc>
      </w:tr>
      <w:tr>
        <w:tc>
          <w:tcPr>
            <w:tcW w:type="dxa" w:w="18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Copper &amp; potash bid</w:t>
            </w:r>
          </w:p>
        </w:tc>
        <w:tc>
          <w:tcPr>
            <w:tcW w:type="dxa" w:w="40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Supply fear + inflation hedge support copper; Hormuz disruption spikes potash/fertiliser prices</w:t>
            </w:r>
          </w:p>
        </w:tc>
        <w:tc>
          <w:tcPr>
            <w:tcW w:type="dxa" w:w="3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Positive — supports the copper thesis and Woodsmith's long-run economics</w:t>
            </w:r>
          </w:p>
        </w:tc>
      </w:tr>
    </w:tbl>
    <w:p>
      <w:pPr>
        <w:spacing w:after="60"/>
      </w:pPr>
      <w:r>
        <w:rPr>
          <w:sz w:val="10"/>
          <w:szCs w:val="10"/>
        </w:rPr>
        <w:t xml:space="preserve"/>
      </w:r>
    </w:p>
    <w:p>
      <w:pPr>
        <w:spacing w:after="120"/>
      </w:pPr>
      <w:r>
        <w:rPr>
          <w:b/>
          <w:bCs/>
          <w:sz w:val="22"/>
          <w:szCs w:val="22"/>
        </w:rPr>
        <w:t xml:space="preserve">Scenario A — Hormuz stays closed (foreseeable future).  </w:t>
      </w:r>
      <w:r>
        <w:rPr>
          <w:sz w:val="22"/>
          <w:szCs w:val="22"/>
        </w:rPr>
        <w:t xml:space="preserve">A negative surprise versus current pricing. Brent re-spikes toward $120–150/bbl; the direct cost drag is ~$240–400m (e). The decisive question is whether it tips a global recession. If not (contained), copper stays war-bid and group EBITDA holds near base (~$6.5bn FY26e) because high copper offsets weaker iron ore and costs. If it does, copper demand finally cracks and EBITDA falls toward the ~$4.8bn (e) tail, with FCF thin or negative, slower deleveraging and the dividend at risk. The equity keeps a risk discount regardless.</w:t>
      </w:r>
    </w:p>
    <w:p>
      <w:pPr>
        <w:spacing w:after="120"/>
      </w:pPr>
      <w:r>
        <w:rPr>
          <w:b/>
          <w:bCs/>
          <w:sz w:val="22"/>
          <w:szCs w:val="22"/>
        </w:rPr>
        <w:t xml:space="preserve">Scenario B — Hormuz opens in weeks.  </w:t>
      </w:r>
      <w:r>
        <w:rPr>
          <w:sz w:val="22"/>
          <w:szCs w:val="22"/>
        </w:rPr>
        <w:t xml:space="preserve">Confirms consensus. Brent stays ~$70–80, the risk premium unwinds, and growth fears recede. The paradox to flag: this is good for the macro and the equity but removes the war premium inflating copper spot, so near-term copper price softens (toward ~$11,500/t) even as the demand outlook improves — the bullish driver in B is volumes/demand/deleveraging/merger delivery, not spot copper. Net: a base-case "compound and de-lever", a faster path to net cash, supportive of a re-rating and the clean delivery of the $4.5bn special dividend.</w:t>
      </w:r>
    </w:p>
    <w:p>
      <w:pPr>
        <w:spacing w:after="120"/>
      </w:pPr>
      <w:r>
        <w:rPr>
          <w:b/>
          <w:bCs/>
          <w:sz w:val="22"/>
          <w:szCs w:val="22"/>
        </w:rPr>
        <w:t xml:space="preserve">Bottom line.  </w:t>
      </w:r>
      <w:r>
        <w:rPr>
          <w:sz w:val="22"/>
          <w:szCs w:val="22"/>
        </w:rPr>
        <w:t xml:space="preserve">For a soon-to-be &gt;70%-copper group, a contained closure is closer to EBITDA-neutral than headlines imply; the genuine downside is the recession tail, and the genuine upside in a reopening is the multiple and balance-sheet story rather than the copper price.</w:t>
      </w:r>
    </w:p>
    <w:p>
      <w:pPr>
        <w:pStyle w:val="Heading1"/>
        <w:spacing w:after="160" w:before="280"/>
      </w:pPr>
      <w:r>
        <w:t xml:space="preserve">7.  Primary growth indicators (next 12–18 months)</w:t>
      </w:r>
    </w:p>
    <w:p>
      <w:pPr>
        <w:pStyle w:val="ListParagraph"/>
        <w:numPr>
          <w:ilvl w:val="0"/>
          <w:numId w:val="2"/>
        </w:numPr>
        <w:spacing w:after="80"/>
      </w:pPr>
      <w:r>
        <w:rPr>
          <w:sz w:val="22"/>
          <w:szCs w:val="22"/>
        </w:rPr>
        <w:t xml:space="preserve">Copper production delivery versus the 700–760kt FY2026 guidance (Quellaveco grades; Chile/Collahuasi and Los Bronces throughput).</w:t>
      </w:r>
    </w:p>
    <w:p>
      <w:pPr>
        <w:pStyle w:val="ListParagraph"/>
        <w:numPr>
          <w:ilvl w:val="0"/>
          <w:numId w:val="2"/>
        </w:numPr>
        <w:spacing w:after="80"/>
      </w:pPr>
      <w:r>
        <w:rPr>
          <w:sz w:val="22"/>
          <w:szCs w:val="22"/>
        </w:rPr>
        <w:t xml:space="preserve">Anglo Teck — China SAMR clearance, then completion (guided September 2026–March 2027) and early synergy capture.</w:t>
      </w:r>
    </w:p>
    <w:p>
      <w:pPr>
        <w:pStyle w:val="ListParagraph"/>
        <w:numPr>
          <w:ilvl w:val="0"/>
          <w:numId w:val="2"/>
        </w:numPr>
        <w:spacing w:after="80"/>
      </w:pPr>
      <w:r>
        <w:rPr>
          <w:sz w:val="22"/>
          <w:szCs w:val="22"/>
        </w:rPr>
        <w:t xml:space="preserve">De Beers sale completion and proceeds versus the ~$2.3bn carrying value.</w:t>
      </w:r>
    </w:p>
    <w:p>
      <w:pPr>
        <w:pStyle w:val="ListParagraph"/>
        <w:numPr>
          <w:ilvl w:val="0"/>
          <w:numId w:val="2"/>
        </w:numPr>
        <w:spacing w:after="80"/>
      </w:pPr>
      <w:r>
        <w:rPr>
          <w:sz w:val="22"/>
          <w:szCs w:val="22"/>
        </w:rPr>
        <w:t xml:space="preserve">Coal (Dhilmar, up to $3.88bn) and nickel (MMG, up to $500m) completions.</w:t>
      </w:r>
    </w:p>
    <w:p>
      <w:pPr>
        <w:pStyle w:val="ListParagraph"/>
        <w:numPr>
          <w:ilvl w:val="0"/>
          <w:numId w:val="2"/>
        </w:numPr>
        <w:spacing w:after="80"/>
      </w:pPr>
      <w:r>
        <w:rPr>
          <w:sz w:val="22"/>
          <w:szCs w:val="22"/>
        </w:rPr>
        <w:t xml:space="preserve">Net-debt trajectory toward net cash, and delivery of the $4.5bn special dividend.</w:t>
      </w:r>
    </w:p>
    <w:p>
      <w:pPr>
        <w:pStyle w:val="ListParagraph"/>
        <w:numPr>
          <w:ilvl w:val="0"/>
          <w:numId w:val="2"/>
        </w:numPr>
        <w:spacing w:after="80"/>
      </w:pPr>
      <w:r>
        <w:rPr>
          <w:sz w:val="22"/>
          <w:szCs w:val="22"/>
        </w:rPr>
        <w:t xml:space="preserve">FY2026 unit-cost / cost-savings delivery (off the ~$1.8bn run-rate base).</w:t>
      </w:r>
    </w:p>
    <w:p>
      <w:pPr>
        <w:pStyle w:val="Heading1"/>
        <w:spacing w:after="160" w:before="280"/>
      </w:pPr>
      <w:r>
        <w:t xml:space="preserve">8.  Indicators to watch (scenario &amp;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3200"/>
        <w:gridCol w:w="3500"/>
      </w:tblGrid>
      <w:tr>
        <w:trPr>
          <w:tblHeader/>
        </w:trPr>
        <w:tc>
          <w:tcPr>
            <w:tcW w:type="dxa" w:w="266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left"/>
            </w:pPr>
            <w:r>
              <w:rPr>
                <w:b/>
                <w:bCs/>
                <w:sz w:val="20"/>
                <w:szCs w:val="20"/>
              </w:rPr>
              <w:t xml:space="preserve">Indicator</w:t>
            </w:r>
          </w:p>
        </w:tc>
        <w:tc>
          <w:tcPr>
            <w:tcW w:type="dxa" w:w="32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Why it matters</w:t>
            </w:r>
          </w:p>
        </w:tc>
        <w:tc>
          <w:tcPr>
            <w:tcW w:type="dxa" w:w="3500"/>
            <w:tcBorders>
              <w:top w:val="single" w:color="CCCCCC" w:sz="1"/>
              <w:left w:val="single" w:color="CCCCCC" w:sz="1"/>
              <w:bottom w:val="single" w:color="CCCCCC" w:sz="1"/>
              <w:right w:val="single" w:color="CCCCCC" w:sz="1"/>
            </w:tcBorders>
            <w:shd w:fill="D5E8F0" w:val="clear"/>
            <w:tcMar>
              <w:top w:type="dxa" w:w="50"/>
              <w:left w:type="dxa" w:w="110"/>
              <w:bottom w:type="dxa" w:w="50"/>
              <w:right w:type="dxa" w:w="110"/>
            </w:tcMar>
            <w:vAlign w:val="center"/>
          </w:tcPr>
          <w:p>
            <w:pPr>
              <w:jc w:val="right"/>
            </w:pPr>
            <w:r>
              <w:rPr>
                <w:b/>
                <w:bCs/>
                <w:sz w:val="20"/>
                <w:szCs w:val="20"/>
              </w:rPr>
              <w:t xml:space="preserve">Watch signal</w:t>
            </w:r>
          </w:p>
        </w:tc>
      </w:tr>
      <w:tr>
        <w:tc>
          <w:tcPr>
            <w:tcW w:type="dxa" w:w="26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LME copper price &amp; inventories</w:t>
            </w:r>
          </w:p>
        </w:tc>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The dominant EBITDA driver; stocks signal physical tightness</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Constructive &gt;$12,000/t &amp; falling stocks / Warning &lt;$9,000/t &amp; rising stocks</w:t>
            </w:r>
          </w:p>
        </w:tc>
      </w:tr>
      <w:tr>
        <w:tc>
          <w:tcPr>
            <w:tcW w:type="dxa" w:w="26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62% Fe iron ore + China steel/property</w:t>
            </w:r>
          </w:p>
        </w:tc>
        <w:tc>
          <w:tcPr>
            <w:tcW w:type="dxa" w:w="32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Second-largest earner; China is ~the marginal demand</w:t>
            </w:r>
          </w:p>
        </w:tc>
        <w:tc>
          <w:tcPr>
            <w:tcW w:type="dxa" w:w="3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Constructive &gt;$95/t, stimulus / Warning &lt;$75/t, weak steel PMIs</w:t>
            </w:r>
          </w:p>
        </w:tc>
      </w:tr>
      <w:tr>
        <w:tc>
          <w:tcPr>
            <w:tcW w:type="dxa" w:w="26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Brent oil &amp; Strait of Hormuz status</w:t>
            </w:r>
          </w:p>
        </w:tc>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Drives the energy-cost overlay and the global-demand tail</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Constructive Brent &lt;$80, strait reopens / Warning &gt;$110, closure persists</w:t>
            </w:r>
          </w:p>
        </w:tc>
      </w:tr>
      <w:tr>
        <w:tc>
          <w:tcPr>
            <w:tcW w:type="dxa" w:w="26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USD/ZAR</w:t>
            </w:r>
          </w:p>
        </w:tc>
        <w:tc>
          <w:tcPr>
            <w:tcW w:type="dxa" w:w="32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Weaker rand lowers $-translated SA (Kumba) costs</w:t>
            </w:r>
          </w:p>
        </w:tc>
        <w:tc>
          <w:tcPr>
            <w:tcW w:type="dxa" w:w="3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~17–18 = cost relief / &lt;16 with weak prices = squeeze</w:t>
            </w:r>
          </w:p>
        </w:tc>
      </w:tr>
      <w:tr>
        <w:tc>
          <w:tcPr>
            <w:tcW w:type="dxa" w:w="26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China stimulus / global PMIs</w:t>
            </w:r>
          </w:p>
        </w:tc>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Sets demand backdrop for both key commodities</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Easing &amp; PMIs &gt;50 / Tightening &amp; PMIs &lt;48</w:t>
            </w:r>
          </w:p>
        </w:tc>
      </w:tr>
      <w:tr>
        <w:tc>
          <w:tcPr>
            <w:tcW w:type="dxa" w:w="26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China SAMR merger decision</w:t>
            </w:r>
          </w:p>
        </w:tc>
        <w:tc>
          <w:tcPr>
            <w:tcW w:type="dxa" w:w="32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Last major Anglo Teck clearance; binary catalyst</w:t>
            </w:r>
          </w:p>
        </w:tc>
        <w:tc>
          <w:tcPr>
            <w:tcW w:type="dxa" w:w="3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Clean approval / Block, remedy or delay</w:t>
            </w:r>
          </w:p>
        </w:tc>
      </w:tr>
      <w:tr>
        <w:tc>
          <w:tcPr>
            <w:tcW w:type="dxa" w:w="26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De Beers sale completion &amp; rough-price index</w:t>
            </w:r>
          </w:p>
        </w:tc>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Removes an EBITDA drag and cuts net debt; tests asset value</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Completes at/above carrying value / Slips or marked down</w:t>
            </w:r>
          </w:p>
        </w:tc>
      </w:tr>
      <w:tr>
        <w:tc>
          <w:tcPr>
            <w:tcW w:type="dxa" w:w="266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left"/>
            </w:pPr>
            <w:r>
              <w:rPr>
                <w:b w:val="false"/>
                <w:bCs w:val="false"/>
                <w:sz w:val="20"/>
                <w:szCs w:val="20"/>
              </w:rPr>
              <w:t xml:space="preserve">Net debt trajectory &amp; dividend</w:t>
            </w:r>
          </w:p>
        </w:tc>
        <w:tc>
          <w:tcPr>
            <w:tcW w:type="dxa" w:w="32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Confirms the deleveraging / capital-return thesis</w:t>
            </w:r>
          </w:p>
        </w:tc>
        <w:tc>
          <w:tcPr>
            <w:tcW w:type="dxa" w:w="3500"/>
            <w:tcBorders>
              <w:top w:val="single" w:color="CCCCCC" w:sz="1"/>
              <w:left w:val="single" w:color="CCCCCC" w:sz="1"/>
              <w:bottom w:val="single" w:color="CCCCCC" w:sz="1"/>
              <w:right w:val="single" w:color="CCCCCC" w:sz="1"/>
            </w:tcBorders>
            <w:shd w:fill="F2F7FB" w:val="clear"/>
            <w:tcMar>
              <w:top w:type="dxa" w:w="50"/>
              <w:left w:type="dxa" w:w="110"/>
              <w:bottom w:type="dxa" w:w="50"/>
              <w:right w:type="dxa" w:w="110"/>
            </w:tcMar>
            <w:vAlign w:val="center"/>
          </w:tcPr>
          <w:p>
            <w:pPr>
              <w:jc w:val="right"/>
            </w:pPr>
            <w:r>
              <w:rPr>
                <w:b w:val="false"/>
                <w:bCs w:val="false"/>
                <w:sz w:val="20"/>
                <w:szCs w:val="20"/>
              </w:rPr>
              <w:t xml:space="preserve">Disposals land, buyback / Dividend cut, debt sticky</w:t>
            </w:r>
          </w:p>
        </w:tc>
      </w:tr>
      <w:tr>
        <w:tc>
          <w:tcPr>
            <w:tcW w:type="dxa" w:w="266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left"/>
            </w:pPr>
            <w:r>
              <w:rPr>
                <w:b w:val="false"/>
                <w:bCs w:val="false"/>
                <w:sz w:val="20"/>
                <w:szCs w:val="20"/>
              </w:rPr>
              <w:t xml:space="preserve">US Fed path / USD (DXY)</w:t>
            </w:r>
          </w:p>
        </w:tc>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USD strength is a structural headwind for $-priced metals</w:t>
            </w:r>
          </w:p>
        </w:tc>
        <w:tc>
          <w:tcPr>
            <w:tcW w:type="dxa" w:w="3500"/>
            <w:tcBorders>
              <w:top w:val="single" w:color="CCCCCC" w:sz="1"/>
              <w:left w:val="single" w:color="CCCCCC" w:sz="1"/>
              <w:bottom w:val="single" w:color="CCCCCC" w:sz="1"/>
              <w:right w:val="single" w:color="CCCCCC" w:sz="1"/>
            </w:tcBorders>
            <w:tcMar>
              <w:top w:type="dxa" w:w="50"/>
              <w:left w:type="dxa" w:w="110"/>
              <w:bottom w:type="dxa" w:w="50"/>
              <w:right w:type="dxa" w:w="110"/>
            </w:tcMar>
            <w:vAlign w:val="center"/>
          </w:tcPr>
          <w:p>
            <w:pPr>
              <w:jc w:val="right"/>
            </w:pPr>
            <w:r>
              <w:rPr>
                <w:b w:val="false"/>
                <w:bCs w:val="false"/>
                <w:sz w:val="20"/>
                <w:szCs w:val="20"/>
              </w:rPr>
              <w:t xml:space="preserve">Cuts, softer USD / Higher-for-longer, strong USD</w:t>
            </w:r>
          </w:p>
        </w:tc>
      </w:tr>
    </w:tbl>
    <w:p>
      <w:pPr>
        <w:pStyle w:val="Heading1"/>
        <w:spacing w:after="160" w:before="280"/>
      </w:pPr>
      <w:r>
        <w:t xml:space="preserve">9.  Valuation context</w:t>
      </w:r>
    </w:p>
    <w:p>
      <w:pPr>
        <w:spacing w:after="120"/>
      </w:pPr>
      <w:r>
        <w:rPr>
          <w:sz w:val="22"/>
          <w:szCs w:val="22"/>
        </w:rPr>
        <w:t xml:space="preserve">At the LSE close of 3,804p on 12 June 2026 (market cap ~£42.9bn; JSE ~R875.14), Anglo screens on the fund's model at an enterprise value of ~$66bn. Against scenario EBITDA that implies ~9.5x EV/EBITDA on Scenario B FY2026e (~$7.0bn) and ~10x on Scenario A contained (~$6.5bn), stretching to ~14x on the recession tail (~$4.8bn).</w:t>
      </w:r>
    </w:p>
    <w:p>
      <w:pPr>
        <w:spacing w:after="120"/>
      </w:pPr>
      <w:r>
        <w:rPr>
          <w:sz w:val="22"/>
          <w:szCs w:val="22"/>
        </w:rPr>
        <w:t xml:space="preserve">Trailing P/E is not meaningful — the De Beers impairment produced a headline loss — so the stock is best framed on EV/EBITDA and copper-price scenarios plus Teck optionality rather than near-term earnings. Sell-side targets span a wide range, from ~3,160p (JPMorgan, Underweight) to ~4,500p (Deutsche Bank, Buy). Equity value uses 3,804p × ~1,127m shares × an assumed GBP/USD of 1.35 (e); EV holds current net debt of $8.6bn.</w:t>
      </w:r>
    </w:p>
    <w:p>
      <w:pPr>
        <w:spacing w:after="140" w:before="60"/>
      </w:pPr>
      <w:r>
        <w:rPr>
          <w:i/>
          <w:iCs/>
          <w:color w:val="555555"/>
          <w:sz w:val="18"/>
          <w:szCs w:val="18"/>
        </w:rPr>
        <w:t xml:space="preserve">FLAG: share and commodity prices obtained via web search may be delayed and must be re-verified before any dealing; there is no live JSE/LME feed.</w:t>
      </w:r>
    </w:p>
    <w:p>
      <w:pPr>
        <w:pStyle w:val="Heading1"/>
        <w:spacing w:after="160" w:before="280"/>
      </w:pPr>
      <w:r>
        <w:t xml:space="preserve">10.  Compliance &amp; basis of preparation</w:t>
      </w:r>
    </w:p>
    <w:p>
      <w:pPr>
        <w:spacing w:after="120"/>
      </w:pPr>
      <w:r>
        <w:rPr>
          <w:sz w:val="22"/>
          <w:szCs w:val="22"/>
        </w:rPr>
        <w:t xml:space="preserve">This memo is for informational purposes only and is not investment advice; the author is not a registered financial adviser. Figures attributed to Anglo American are from its published FY2025 results (RNS, 20 February 2026) and subsequent announcements; scenario projections are the analyst's own estimates (marked (e)), calibrated to the fund's existing Anglo model, and are not forecasts of actual results. Anglo American reports in US dollars. Share and commodity prices via web search may be delayed; confirm whether the fund is in a closed or prohibited dealing period before acting.</w:t>
      </w:r>
    </w:p>
    <w:p>
      <w:pPr>
        <w:spacing w:after="120"/>
      </w:pPr>
      <w:r>
        <w:rPr>
          <w:b/>
          <w:bCs/>
          <w:sz w:val="22"/>
          <w:szCs w:val="22"/>
        </w:rPr>
        <w:t xml:space="preserve">Quick-mode coverage note.  </w:t>
      </w:r>
      <w:r>
        <w:rPr>
          <w:sz w:val="22"/>
          <w:szCs w:val="22"/>
        </w:rPr>
        <w:t xml:space="preserve">This memo was prepared in quick mode from the concise FY2025 results, the fund's existing Anglo model and current macro. The FY2025 Integrated Annual Report, interims, trading statements and full SENS history were not re-read, and the original FY2025 results PDF was not saved to disk in this environment (egress restricted) — backfill on a deep run.</w:t>
      </w:r>
    </w:p>
    <w:p>
      <w:pPr>
        <w:pStyle w:val="Heading2"/>
        <w:spacing w:after="120" w:before="200"/>
      </w:pPr>
      <w:r>
        <w:t xml:space="preserve">Key sources</w:t>
      </w:r>
    </w:p>
    <w:p>
      <w:pPr>
        <w:pStyle w:val="ListParagraph"/>
        <w:numPr>
          <w:ilvl w:val="0"/>
          <w:numId w:val="2"/>
        </w:numPr>
        <w:spacing w:after="80"/>
      </w:pPr>
      <w:r>
        <w:rPr>
          <w:sz w:val="22"/>
          <w:szCs w:val="22"/>
        </w:rPr>
        <w:t xml:space="preserve">Anglo American FY2025 results (RNS, 20 February 2026).</w:t>
      </w:r>
    </w:p>
    <w:p>
      <w:pPr>
        <w:pStyle w:val="ListParagraph"/>
        <w:numPr>
          <w:ilvl w:val="0"/>
          <w:numId w:val="2"/>
        </w:numPr>
        <w:spacing w:after="80"/>
      </w:pPr>
      <w:r>
        <w:rPr>
          <w:sz w:val="22"/>
          <w:szCs w:val="22"/>
        </w:rPr>
        <w:t xml:space="preserve">Anglo American 2026–28 production guidance (Q4 2025 production report).</w:t>
      </w:r>
    </w:p>
    <w:p>
      <w:pPr>
        <w:pStyle w:val="ListParagraph"/>
        <w:numPr>
          <w:ilvl w:val="0"/>
          <w:numId w:val="2"/>
        </w:numPr>
        <w:spacing w:after="80"/>
      </w:pPr>
      <w:r>
        <w:rPr>
          <w:sz w:val="22"/>
          <w:szCs w:val="22"/>
        </w:rPr>
        <w:t xml:space="preserve">Anglo Teck merger of equals (9 September 2025) and completion-timing guidance (September 2026–March 2027).</w:t>
      </w:r>
    </w:p>
    <w:p>
      <w:pPr>
        <w:pStyle w:val="ListParagraph"/>
        <w:numPr>
          <w:ilvl w:val="0"/>
          <w:numId w:val="2"/>
        </w:numPr>
        <w:spacing w:after="80"/>
      </w:pPr>
      <w:r>
        <w:rPr>
          <w:sz w:val="22"/>
          <w:szCs w:val="22"/>
        </w:rPr>
        <w:t xml:space="preserve">Anglo to sell coal to Dhilmar for up to $3.88bn (Reuters, 18 May 2026).</w:t>
      </w:r>
    </w:p>
    <w:p>
      <w:pPr>
        <w:pStyle w:val="ListParagraph"/>
        <w:numPr>
          <w:ilvl w:val="0"/>
          <w:numId w:val="2"/>
        </w:numPr>
        <w:spacing w:after="80"/>
      </w:pPr>
      <w:r>
        <w:rPr>
          <w:sz w:val="22"/>
          <w:szCs w:val="22"/>
        </w:rPr>
        <w:t xml:space="preserve">De Beers sale process — consortium led by Gareth Penny (National Jeweler / Reuters, 2026).</w:t>
      </w:r>
    </w:p>
    <w:p>
      <w:pPr>
        <w:pStyle w:val="ListParagraph"/>
        <w:numPr>
          <w:ilvl w:val="0"/>
          <w:numId w:val="2"/>
        </w:numPr>
        <w:spacing w:after="80"/>
      </w:pPr>
      <w:r>
        <w:rPr>
          <w:sz w:val="22"/>
          <w:szCs w:val="22"/>
        </w:rPr>
        <w:t xml:space="preserve">Anglo American 2026 remuneration policy &amp; May 2026 LTIP grant (TipRanks; City AM).</w:t>
      </w:r>
    </w:p>
    <w:p>
      <w:pPr>
        <w:pStyle w:val="ListParagraph"/>
        <w:numPr>
          <w:ilvl w:val="0"/>
          <w:numId w:val="2"/>
        </w:numPr>
        <w:spacing w:after="80"/>
      </w:pPr>
      <w:r>
        <w:rPr>
          <w:sz w:val="22"/>
          <w:szCs w:val="22"/>
        </w:rPr>
        <w:t xml:space="preserve">LME copper &amp; 62% Fe iron-ore prices (TradingEconomics / Barchart, June 2026).</w:t>
      </w:r>
    </w:p>
    <w:p>
      <w:pPr>
        <w:pStyle w:val="ListParagraph"/>
        <w:numPr>
          <w:ilvl w:val="0"/>
          <w:numId w:val="2"/>
        </w:numPr>
        <w:spacing w:after="80"/>
      </w:pPr>
      <w:r>
        <w:rPr>
          <w:sz w:val="22"/>
          <w:szCs w:val="22"/>
        </w:rPr>
        <w:t xml:space="preserve">Brent crude &amp; Strait-of-Hormuz status (Al Jazeera; ING; straits.live, June 2026).</w:t>
      </w:r>
    </w:p>
    <w:p>
      <w:pPr>
        <w:pStyle w:val="ListParagraph"/>
        <w:numPr>
          <w:ilvl w:val="0"/>
          <w:numId w:val="2"/>
        </w:numPr>
        <w:spacing w:after="80"/>
      </w:pPr>
      <w:r>
        <w:rPr>
          <w:sz w:val="22"/>
          <w:szCs w:val="22"/>
        </w:rPr>
        <w:t xml:space="preserve">World Bank Commodity Markets Outlook (April 2026).</w:t>
      </w:r>
    </w:p>
    <w:p>
      <w:pPr>
        <w:pStyle w:val="ListParagraph"/>
        <w:numPr>
          <w:ilvl w:val="0"/>
          <w:numId w:val="2"/>
        </w:numPr>
        <w:spacing w:after="80"/>
      </w:pPr>
      <w:r>
        <w:rPr>
          <w:sz w:val="22"/>
          <w:szCs w:val="22"/>
        </w:rPr>
        <w:t xml:space="preserve">LSE AAL share price (12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4B5"/>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2026-06-17T19:11:00.322Z</dcterms:created>
  <dcterms:modified xsi:type="dcterms:W3CDTF">2026-06-17T19:11:00.322Z</dcterms:modified>
</cp:coreProperties>
</file>

<file path=docProps/custom.xml><?xml version="1.0" encoding="utf-8"?>
<Properties xmlns="http://schemas.openxmlformats.org/officeDocument/2006/custom-properties" xmlns:vt="http://schemas.openxmlformats.org/officeDocument/2006/docPropsVTypes"/>
</file>