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Clicks Group (JSE: CLS) — Scenario Outlook FY2026 / FY2027</w:t>
      </w:r>
    </w:p>
    <w:p>
      <w:pPr>
        <w:spacing w:after="40" w:before="0"/>
      </w:pPr>
      <w:r>
        <w:rPr>
          <w:rFonts w:ascii="Arial" w:hAnsi="Arial"/>
          <w:b w:val="0"/>
          <w:i w:val="0"/>
          <w:color w:val="595959"/>
          <w:sz w:val="20"/>
        </w:rPr>
        <w:t>Bull / Neutral / Bear projections through the FY2027 year-end (31 August 2027), with a sentiment read of management and market language.</w:t>
      </w:r>
    </w:p>
    <w:p>
      <w:pPr>
        <w:spacing w:after="40" w:before="0"/>
      </w:pPr>
      <w:r>
        <w:rPr>
          <w:rFonts w:ascii="Arial" w:hAnsi="Arial"/>
          <w:b w:val="0"/>
          <w:i w:val="0"/>
          <w:color w:val="595959"/>
          <w:sz w:val="20"/>
        </w:rPr>
        <w:t>Internal research note — prepared 17 June 2026. FYE 31 August. All figures ZAR unless stated.</w:t>
      </w:r>
    </w:p>
    <w:p>
      <w:pPr>
        <w:spacing w:after="60" w:before="0"/>
      </w:pPr>
      <w:r>
        <w:rPr>
          <w:rFonts w:ascii="Arial" w:hAnsi="Arial"/>
          <w:b/>
          <w:i w:val="0"/>
          <w:sz w:val="26"/>
        </w:rPr>
        <w:t>Will the operating story or the de-rating win?</w:t>
      </w:r>
    </w:p>
    <w:p>
      <w:pPr>
        <w:spacing w:after="200" w:before="0"/>
      </w:pPr>
      <w:r>
        <w:rPr>
          <w:rFonts w:ascii="Arial" w:hAnsi="Arial"/>
          <w:b w:val="0"/>
          <w:i/>
          <w:color w:val="595959"/>
          <w:sz w:val="18"/>
        </w:rPr>
        <w:t>Anchored on FY2025 reviewed results (23 Oct 2025) and H1 FY2026 interim results (23 Apr 2026). Forward figures are analyst estimates (e).</w:t>
      </w:r>
    </w:p>
    <w:p>
      <w:pPr>
        <w:pStyle w:val="Heading1"/>
      </w:pPr>
      <w:r>
        <w:t>1. Verdict</w:t>
      </w: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House view.  </w:t>
            </w:r>
            <w:r>
              <w:rPr>
                <w:rFonts w:ascii="Arial" w:hAnsi="Arial"/>
                <w:b w:val="0"/>
                <w:i w:val="0"/>
                <w:sz w:val="21"/>
              </w:rPr>
              <w:t>Clicks is operationally resilient but its narrative is decelerating. Earnings and pharmacy market share are still improving (H1 FY2026 diluted HEPS +8.1%, retail pharmacy share 24.9% from 24.2%), so the EARNINGS path points to modest upgrades-to-in-line, not downgrades. The risk is to the RATING, not the numbers: a high-20s P/E on guided 4%-9% HEPS growth, a 52-week-low share price and a visibly more aggressive Dis-Chem create de-rating risk. Management language has cooled markedly between FY2025 and H1 FY2026, which we read as a leading indicator that consensus drifts toward the lower half of guidance unless the consumer turns.</w:t>
            </w:r>
          </w:p>
        </w:tc>
      </w:tr>
    </w:tbl>
    <w:p>
      <w:pPr>
        <w:spacing w:after="40" w:before="0"/>
      </w:pPr>
    </w:p>
    <w:p>
      <w:pPr>
        <w:spacing w:after="160" w:before="0"/>
      </w:pPr>
      <w:r>
        <w:rPr>
          <w:rFonts w:ascii="Arial" w:hAnsi="Arial"/>
          <w:b/>
          <w:i w:val="0"/>
          <w:sz w:val="21"/>
        </w:rPr>
        <w:t xml:space="preserve">Bottom line: </w:t>
      </w:r>
      <w:r>
        <w:rPr>
          <w:rFonts w:ascii="Arial" w:hAnsi="Arial"/>
          <w:b w:val="0"/>
          <w:i w:val="0"/>
          <w:sz w:val="21"/>
        </w:rPr>
        <w:t>the central (Neutral) case is mid-single to high-single-digit HEPS growth in both years with market share held; the Bull case requires a consumer/rate tailwind and clean WMS execution; the Bear case is a Dis-Chem-led share leak plus a sticky-inflation consumer and continued multiple compression.</w:t>
      </w:r>
    </w:p>
    <w:p>
      <w:pPr>
        <w:pStyle w:val="Heading1"/>
      </w:pPr>
      <w:r>
        <w:t>2. Where Clicks stands today (sacred actuals)</w:t>
      </w:r>
    </w:p>
    <w:p>
      <w:pPr>
        <w:spacing w:after="120" w:before="0"/>
      </w:pPr>
      <w:r>
        <w:rPr>
          <w:rFonts w:ascii="Arial" w:hAnsi="Arial"/>
          <w:b w:val="0"/>
          <w:i w:val="0"/>
          <w:sz w:val="21"/>
        </w:rPr>
        <w:t>Reported figures taken verbatim from the cited filings; no estimates in this table.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700"/>
            <w:shd w:val="clear" w:fill="1F3864"/>
          </w:tcPr>
          <w:p>
            <w:r/>
            <w:r>
              <w:rPr>
                <w:rFonts w:ascii="Arial" w:hAnsi="Arial"/>
                <w:b/>
                <w:i w:val="0"/>
                <w:color w:val="FFFFFF"/>
                <w:sz w:val="18"/>
              </w:rPr>
              <w:t>Metric</w:t>
            </w:r>
          </w:p>
        </w:tc>
        <w:tc>
          <w:tcPr>
            <w:tcW w:type="dxa" w:w="1180"/>
            <w:shd w:val="clear" w:fill="1F3864"/>
          </w:tcPr>
          <w:p>
            <w:r/>
            <w:r>
              <w:rPr>
                <w:rFonts w:ascii="Arial" w:hAnsi="Arial"/>
                <w:b/>
                <w:i w:val="0"/>
                <w:color w:val="FFFFFF"/>
                <w:sz w:val="18"/>
              </w:rPr>
              <w:t>FY2025A</w:t>
            </w:r>
          </w:p>
        </w:tc>
        <w:tc>
          <w:tcPr>
            <w:tcW w:type="dxa" w:w="1180"/>
            <w:shd w:val="clear" w:fill="1F3864"/>
          </w:tcPr>
          <w:p>
            <w:r/>
            <w:r>
              <w:rPr>
                <w:rFonts w:ascii="Arial" w:hAnsi="Arial"/>
                <w:b/>
                <w:i w:val="0"/>
                <w:color w:val="FFFFFF"/>
                <w:sz w:val="18"/>
              </w:rPr>
              <w:t>FY2024A</w:t>
            </w:r>
          </w:p>
        </w:tc>
        <w:tc>
          <w:tcPr>
            <w:tcW w:type="dxa" w:w="1040"/>
            <w:shd w:val="clear" w:fill="1F3864"/>
          </w:tcPr>
          <w:p>
            <w:r/>
            <w:r>
              <w:rPr>
                <w:rFonts w:ascii="Arial" w:hAnsi="Arial"/>
                <w:b/>
                <w:i w:val="0"/>
                <w:color w:val="FFFFFF"/>
                <w:sz w:val="18"/>
              </w:rPr>
              <w:t>Change</w:t>
            </w:r>
          </w:p>
        </w:tc>
        <w:tc>
          <w:tcPr>
            <w:tcW w:type="dxa" w:w="1180"/>
            <w:shd w:val="clear" w:fill="1F3864"/>
          </w:tcPr>
          <w:p>
            <w:r/>
            <w:r>
              <w:rPr>
                <w:rFonts w:ascii="Arial" w:hAnsi="Arial"/>
                <w:b/>
                <w:i w:val="0"/>
                <w:color w:val="FFFFFF"/>
                <w:sz w:val="18"/>
              </w:rPr>
              <w:t>H1 FY2026A</w:t>
            </w:r>
          </w:p>
        </w:tc>
        <w:tc>
          <w:tcPr>
            <w:tcW w:type="dxa" w:w="1180"/>
            <w:shd w:val="clear" w:fill="1F3864"/>
          </w:tcPr>
          <w:p>
            <w:r/>
            <w:r>
              <w:rPr>
                <w:rFonts w:ascii="Arial" w:hAnsi="Arial"/>
                <w:b/>
                <w:i w:val="0"/>
                <w:color w:val="FFFFFF"/>
                <w:sz w:val="18"/>
              </w:rPr>
              <w:t>H1 FY2025A</w:t>
            </w:r>
          </w:p>
        </w:tc>
        <w:tc>
          <w:tcPr>
            <w:tcW w:type="dxa" w:w="900"/>
            <w:shd w:val="clear" w:fill="1F3864"/>
          </w:tcPr>
          <w:p>
            <w:r/>
            <w:r>
              <w:rPr>
                <w:rFonts w:ascii="Arial" w:hAnsi="Arial"/>
                <w:b/>
                <w:i w:val="0"/>
                <w:color w:val="FFFFFF"/>
                <w:sz w:val="18"/>
              </w:rPr>
              <w:t>Change</w:t>
            </w:r>
          </w:p>
        </w:tc>
      </w:tr>
      <w:tr>
        <w:tc>
          <w:tcPr>
            <w:tcW w:type="dxa" w:w="2700"/>
            <w:shd w:val="clear" w:fill="F2F2F2"/>
          </w:tcPr>
          <w:p>
            <w:r/>
            <w:r>
              <w:rPr>
                <w:rFonts w:ascii="Arial" w:hAnsi="Arial"/>
                <w:b/>
                <w:i w:val="0"/>
                <w:sz w:val="18"/>
              </w:rPr>
              <w:t>Group turnover (R'm)</w:t>
            </w:r>
          </w:p>
        </w:tc>
        <w:tc>
          <w:tcPr>
            <w:tcW w:type="dxa" w:w="1180"/>
          </w:tcPr>
          <w:p>
            <w:r/>
            <w:r>
              <w:rPr>
                <w:rFonts w:ascii="Arial" w:hAnsi="Arial"/>
                <w:b w:val="0"/>
                <w:i w:val="0"/>
                <w:sz w:val="18"/>
              </w:rPr>
              <w:t>47,828.1</w:t>
            </w:r>
          </w:p>
        </w:tc>
        <w:tc>
          <w:tcPr>
            <w:tcW w:type="dxa" w:w="1180"/>
          </w:tcPr>
          <w:p>
            <w:r/>
            <w:r>
              <w:rPr>
                <w:rFonts w:ascii="Arial" w:hAnsi="Arial"/>
                <w:b w:val="0"/>
                <w:i w:val="0"/>
                <w:sz w:val="18"/>
              </w:rPr>
              <w:t>45,437.6</w:t>
            </w:r>
          </w:p>
        </w:tc>
        <w:tc>
          <w:tcPr>
            <w:tcW w:type="dxa" w:w="1040"/>
          </w:tcPr>
          <w:p>
            <w:r/>
            <w:r>
              <w:rPr>
                <w:rFonts w:ascii="Arial" w:hAnsi="Arial"/>
                <w:b w:val="0"/>
                <w:i w:val="0"/>
                <w:sz w:val="18"/>
              </w:rPr>
              <w:t>+5.3%</w:t>
            </w:r>
          </w:p>
        </w:tc>
        <w:tc>
          <w:tcPr>
            <w:tcW w:type="dxa" w:w="1180"/>
          </w:tcPr>
          <w:p>
            <w:r/>
            <w:r>
              <w:rPr>
                <w:rFonts w:ascii="Arial" w:hAnsi="Arial"/>
                <w:b w:val="0"/>
                <w:i w:val="0"/>
                <w:sz w:val="18"/>
              </w:rPr>
              <w:t>24,872.2</w:t>
            </w:r>
          </w:p>
        </w:tc>
        <w:tc>
          <w:tcPr>
            <w:tcW w:type="dxa" w:w="1180"/>
          </w:tcPr>
          <w:p>
            <w:r/>
            <w:r>
              <w:rPr>
                <w:rFonts w:ascii="Arial" w:hAnsi="Arial"/>
                <w:b w:val="0"/>
                <w:i w:val="0"/>
                <w:sz w:val="18"/>
              </w:rPr>
              <w:t>23,164.3</w:t>
            </w:r>
          </w:p>
        </w:tc>
        <w:tc>
          <w:tcPr>
            <w:tcW w:type="dxa" w:w="900"/>
          </w:tcPr>
          <w:p>
            <w:r/>
            <w:r>
              <w:rPr>
                <w:rFonts w:ascii="Arial" w:hAnsi="Arial"/>
                <w:b w:val="0"/>
                <w:i w:val="0"/>
                <w:sz w:val="18"/>
              </w:rPr>
              <w:t>+7.4%</w:t>
            </w:r>
          </w:p>
        </w:tc>
      </w:tr>
      <w:tr>
        <w:tc>
          <w:tcPr>
            <w:tcW w:type="dxa" w:w="2700"/>
            <w:shd w:val="clear" w:fill="F2F2F2"/>
          </w:tcPr>
          <w:p>
            <w:r/>
            <w:r>
              <w:rPr>
                <w:rFonts w:ascii="Arial" w:hAnsi="Arial"/>
                <w:b/>
                <w:i w:val="0"/>
                <w:sz w:val="18"/>
              </w:rPr>
              <w:t>Comparable-store growth</w:t>
            </w:r>
          </w:p>
        </w:tc>
        <w:tc>
          <w:tcPr>
            <w:tcW w:type="dxa" w:w="1180"/>
            <w:shd w:val="clear" w:fill="FAFAFA"/>
          </w:tcPr>
          <w:p>
            <w:r/>
            <w:r>
              <w:rPr>
                <w:rFonts w:ascii="Arial" w:hAnsi="Arial"/>
                <w:b w:val="0"/>
                <w:i w:val="0"/>
                <w:sz w:val="18"/>
              </w:rPr>
              <w:t>4.3%</w:t>
            </w:r>
          </w:p>
        </w:tc>
        <w:tc>
          <w:tcPr>
            <w:tcW w:type="dxa" w:w="1180"/>
            <w:shd w:val="clear" w:fill="FAFAFA"/>
          </w:tcPr>
          <w:p>
            <w:r/>
            <w:r>
              <w:rPr>
                <w:rFonts w:ascii="Arial" w:hAnsi="Arial"/>
                <w:b w:val="0"/>
                <w:i w:val="0"/>
                <w:sz w:val="18"/>
              </w:rPr>
              <w:t>8.4%</w:t>
            </w:r>
          </w:p>
        </w:tc>
        <w:tc>
          <w:tcPr>
            <w:tcW w:type="dxa" w:w="1040"/>
            <w:shd w:val="clear" w:fill="FAFAFA"/>
          </w:tcPr>
          <w:p>
            <w:r/>
            <w:r>
              <w:rPr>
                <w:rFonts w:ascii="Arial" w:hAnsi="Arial"/>
                <w:b w:val="0"/>
                <w:i w:val="0"/>
                <w:sz w:val="18"/>
              </w:rPr>
              <w:t>-410bps</w:t>
            </w:r>
          </w:p>
        </w:tc>
        <w:tc>
          <w:tcPr>
            <w:tcW w:type="dxa" w:w="1180"/>
            <w:shd w:val="clear" w:fill="FAFAFA"/>
          </w:tcPr>
          <w:p>
            <w:r/>
            <w:r>
              <w:rPr>
                <w:rFonts w:ascii="Arial" w:hAnsi="Arial"/>
                <w:b w:val="0"/>
                <w:i w:val="0"/>
                <w:sz w:val="18"/>
              </w:rPr>
              <w:t>3.1%</w:t>
            </w:r>
          </w:p>
        </w:tc>
        <w:tc>
          <w:tcPr>
            <w:tcW w:type="dxa" w:w="1180"/>
            <w:shd w:val="clear" w:fill="FAFAFA"/>
          </w:tcPr>
          <w:p>
            <w:r/>
            <w:r>
              <w:rPr>
                <w:rFonts w:ascii="Arial" w:hAnsi="Arial"/>
                <w:b w:val="0"/>
                <w:i w:val="0"/>
                <w:sz w:val="18"/>
              </w:rPr>
              <w:t>4.6%</w:t>
            </w:r>
          </w:p>
        </w:tc>
        <w:tc>
          <w:tcPr>
            <w:tcW w:type="dxa" w:w="900"/>
            <w:shd w:val="clear" w:fill="FAFAFA"/>
          </w:tcPr>
          <w:p>
            <w:r/>
            <w:r>
              <w:rPr>
                <w:rFonts w:ascii="Arial" w:hAnsi="Arial"/>
                <w:b w:val="0"/>
                <w:i w:val="0"/>
                <w:sz w:val="18"/>
              </w:rPr>
              <w:t>-150bps</w:t>
            </w:r>
          </w:p>
        </w:tc>
      </w:tr>
      <w:tr>
        <w:tc>
          <w:tcPr>
            <w:tcW w:type="dxa" w:w="2700"/>
            <w:shd w:val="clear" w:fill="F2F2F2"/>
          </w:tcPr>
          <w:p>
            <w:r/>
            <w:r>
              <w:rPr>
                <w:rFonts w:ascii="Arial" w:hAnsi="Arial"/>
                <w:b/>
                <w:i w:val="0"/>
                <w:sz w:val="18"/>
              </w:rPr>
              <w:t>Gross profit margin</w:t>
            </w:r>
          </w:p>
        </w:tc>
        <w:tc>
          <w:tcPr>
            <w:tcW w:type="dxa" w:w="1180"/>
          </w:tcPr>
          <w:p>
            <w:r/>
            <w:r>
              <w:rPr>
                <w:rFonts w:ascii="Arial" w:hAnsi="Arial"/>
                <w:b w:val="0"/>
                <w:i w:val="0"/>
                <w:sz w:val="18"/>
              </w:rPr>
              <w:t>23.8%</w:t>
            </w:r>
          </w:p>
        </w:tc>
        <w:tc>
          <w:tcPr>
            <w:tcW w:type="dxa" w:w="1180"/>
          </w:tcPr>
          <w:p>
            <w:r/>
            <w:r>
              <w:rPr>
                <w:rFonts w:ascii="Arial" w:hAnsi="Arial"/>
                <w:b w:val="0"/>
                <w:i w:val="0"/>
                <w:sz w:val="18"/>
              </w:rPr>
              <w:t>23.4%</w:t>
            </w:r>
          </w:p>
        </w:tc>
        <w:tc>
          <w:tcPr>
            <w:tcW w:type="dxa" w:w="1040"/>
          </w:tcPr>
          <w:p>
            <w:r/>
            <w:r>
              <w:rPr>
                <w:rFonts w:ascii="Arial" w:hAnsi="Arial"/>
                <w:b w:val="0"/>
                <w:i w:val="0"/>
                <w:sz w:val="18"/>
              </w:rPr>
              <w:t>+40bps</w:t>
            </w:r>
          </w:p>
        </w:tc>
        <w:tc>
          <w:tcPr>
            <w:tcW w:type="dxa" w:w="1180"/>
          </w:tcPr>
          <w:p>
            <w:r/>
            <w:r>
              <w:rPr>
                <w:rFonts w:ascii="Arial" w:hAnsi="Arial"/>
                <w:b w:val="0"/>
                <w:i w:val="0"/>
                <w:sz w:val="18"/>
              </w:rPr>
              <w:t>23.4%</w:t>
            </w:r>
          </w:p>
        </w:tc>
        <w:tc>
          <w:tcPr>
            <w:tcW w:type="dxa" w:w="1180"/>
          </w:tcPr>
          <w:p>
            <w:r/>
            <w:r>
              <w:rPr>
                <w:rFonts w:ascii="Arial" w:hAnsi="Arial"/>
                <w:b w:val="0"/>
                <w:i w:val="0"/>
                <w:sz w:val="18"/>
              </w:rPr>
              <w:t>24.0%</w:t>
            </w:r>
          </w:p>
        </w:tc>
        <w:tc>
          <w:tcPr>
            <w:tcW w:type="dxa" w:w="900"/>
          </w:tcPr>
          <w:p>
            <w:r/>
            <w:r>
              <w:rPr>
                <w:rFonts w:ascii="Arial" w:hAnsi="Arial"/>
                <w:b w:val="0"/>
                <w:i w:val="0"/>
                <w:sz w:val="18"/>
              </w:rPr>
              <w:t>-60bps</w:t>
            </w:r>
          </w:p>
        </w:tc>
      </w:tr>
      <w:tr>
        <w:tc>
          <w:tcPr>
            <w:tcW w:type="dxa" w:w="2700"/>
            <w:shd w:val="clear" w:fill="F2F2F2"/>
          </w:tcPr>
          <w:p>
            <w:r/>
            <w:r>
              <w:rPr>
                <w:rFonts w:ascii="Arial" w:hAnsi="Arial"/>
                <w:b/>
                <w:i w:val="0"/>
                <w:sz w:val="18"/>
              </w:rPr>
              <w:t>Trading margin</w:t>
            </w:r>
          </w:p>
        </w:tc>
        <w:tc>
          <w:tcPr>
            <w:tcW w:type="dxa" w:w="1180"/>
            <w:shd w:val="clear" w:fill="FAFAFA"/>
          </w:tcPr>
          <w:p>
            <w:r/>
            <w:r>
              <w:rPr>
                <w:rFonts w:ascii="Arial" w:hAnsi="Arial"/>
                <w:b w:val="0"/>
                <w:i w:val="0"/>
                <w:sz w:val="18"/>
              </w:rPr>
              <w:t>9.8%</w:t>
            </w:r>
          </w:p>
        </w:tc>
        <w:tc>
          <w:tcPr>
            <w:tcW w:type="dxa" w:w="1180"/>
            <w:shd w:val="clear" w:fill="FAFAFA"/>
          </w:tcPr>
          <w:p>
            <w:r/>
            <w:r>
              <w:rPr>
                <w:rFonts w:ascii="Arial" w:hAnsi="Arial"/>
                <w:b w:val="0"/>
                <w:i w:val="0"/>
                <w:sz w:val="18"/>
              </w:rPr>
              <w:t>9.2%</w:t>
            </w:r>
          </w:p>
        </w:tc>
        <w:tc>
          <w:tcPr>
            <w:tcW w:type="dxa" w:w="1040"/>
            <w:shd w:val="clear" w:fill="FAFAFA"/>
          </w:tcPr>
          <w:p>
            <w:r/>
            <w:r>
              <w:rPr>
                <w:rFonts w:ascii="Arial" w:hAnsi="Arial"/>
                <w:b w:val="0"/>
                <w:i w:val="0"/>
                <w:sz w:val="18"/>
              </w:rPr>
              <w:t>+60bps</w:t>
            </w:r>
          </w:p>
        </w:tc>
        <w:tc>
          <w:tcPr>
            <w:tcW w:type="dxa" w:w="1180"/>
            <w:shd w:val="clear" w:fill="FAFAFA"/>
          </w:tcPr>
          <w:p>
            <w:r/>
            <w:r>
              <w:rPr>
                <w:rFonts w:ascii="Arial" w:hAnsi="Arial"/>
                <w:b w:val="0"/>
                <w:i w:val="0"/>
                <w:sz w:val="18"/>
              </w:rPr>
              <w:t>9.1%</w:t>
            </w:r>
          </w:p>
        </w:tc>
        <w:tc>
          <w:tcPr>
            <w:tcW w:type="dxa" w:w="1180"/>
            <w:shd w:val="clear" w:fill="FAFAFA"/>
          </w:tcPr>
          <w:p>
            <w:r/>
            <w:r>
              <w:rPr>
                <w:rFonts w:ascii="Arial" w:hAnsi="Arial"/>
                <w:b w:val="0"/>
                <w:i w:val="0"/>
                <w:sz w:val="18"/>
              </w:rPr>
              <w:t>9.1%</w:t>
            </w:r>
          </w:p>
        </w:tc>
        <w:tc>
          <w:tcPr>
            <w:tcW w:type="dxa" w:w="900"/>
            <w:shd w:val="clear" w:fill="FAFAFA"/>
          </w:tcPr>
          <w:p>
            <w:r/>
            <w:r>
              <w:rPr>
                <w:rFonts w:ascii="Arial" w:hAnsi="Arial"/>
                <w:b w:val="0"/>
                <w:i w:val="0"/>
                <w:sz w:val="18"/>
              </w:rPr>
              <w:t>flat</w:t>
            </w:r>
          </w:p>
        </w:tc>
      </w:tr>
      <w:tr>
        <w:tc>
          <w:tcPr>
            <w:tcW w:type="dxa" w:w="2700"/>
            <w:shd w:val="clear" w:fill="F2F2F2"/>
          </w:tcPr>
          <w:p>
            <w:r/>
            <w:r>
              <w:rPr>
                <w:rFonts w:ascii="Arial" w:hAnsi="Arial"/>
                <w:b/>
                <w:i w:val="0"/>
                <w:sz w:val="18"/>
              </w:rPr>
              <w:t>Headline earnings (R'm)</w:t>
            </w:r>
          </w:p>
        </w:tc>
        <w:tc>
          <w:tcPr>
            <w:tcW w:type="dxa" w:w="1180"/>
          </w:tcPr>
          <w:p>
            <w:r/>
            <w:r>
              <w:rPr>
                <w:rFonts w:ascii="Arial" w:hAnsi="Arial"/>
                <w:b w:val="0"/>
                <w:i w:val="0"/>
                <w:sz w:val="18"/>
              </w:rPr>
              <w:t>3,234.3</w:t>
            </w:r>
          </w:p>
        </w:tc>
        <w:tc>
          <w:tcPr>
            <w:tcW w:type="dxa" w:w="1180"/>
          </w:tcPr>
          <w:p>
            <w:r/>
            <w:r>
              <w:rPr>
                <w:rFonts w:ascii="Arial" w:hAnsi="Arial"/>
                <w:b w:val="0"/>
                <w:i w:val="0"/>
                <w:sz w:val="18"/>
              </w:rPr>
              <w:t>2,844.6</w:t>
            </w:r>
          </w:p>
        </w:tc>
        <w:tc>
          <w:tcPr>
            <w:tcW w:type="dxa" w:w="1040"/>
          </w:tcPr>
          <w:p>
            <w:r/>
            <w:r>
              <w:rPr>
                <w:rFonts w:ascii="Arial" w:hAnsi="Arial"/>
                <w:b w:val="0"/>
                <w:i w:val="0"/>
                <w:sz w:val="18"/>
              </w:rPr>
              <w:t>+13.7%</w:t>
            </w:r>
          </w:p>
        </w:tc>
        <w:tc>
          <w:tcPr>
            <w:tcW w:type="dxa" w:w="1180"/>
          </w:tcPr>
          <w:p>
            <w:r/>
            <w:r>
              <w:rPr>
                <w:rFonts w:ascii="Arial" w:hAnsi="Arial"/>
                <w:b w:val="0"/>
                <w:i w:val="0"/>
                <w:sz w:val="18"/>
              </w:rPr>
              <w:t>1,529.6</w:t>
            </w:r>
          </w:p>
        </w:tc>
        <w:tc>
          <w:tcPr>
            <w:tcW w:type="dxa" w:w="1180"/>
          </w:tcPr>
          <w:p>
            <w:r/>
            <w:r>
              <w:rPr>
                <w:rFonts w:ascii="Arial" w:hAnsi="Arial"/>
                <w:b w:val="0"/>
                <w:i w:val="0"/>
                <w:sz w:val="18"/>
              </w:rPr>
              <w:t>1,437.8</w:t>
            </w:r>
          </w:p>
        </w:tc>
        <w:tc>
          <w:tcPr>
            <w:tcW w:type="dxa" w:w="900"/>
          </w:tcPr>
          <w:p>
            <w:r/>
            <w:r>
              <w:rPr>
                <w:rFonts w:ascii="Arial" w:hAnsi="Arial"/>
                <w:b w:val="0"/>
                <w:i w:val="0"/>
                <w:sz w:val="18"/>
              </w:rPr>
              <w:t>+6.4%</w:t>
            </w:r>
          </w:p>
        </w:tc>
      </w:tr>
      <w:tr>
        <w:tc>
          <w:tcPr>
            <w:tcW w:type="dxa" w:w="2700"/>
            <w:shd w:val="clear" w:fill="F2F2F2"/>
          </w:tcPr>
          <w:p>
            <w:r/>
            <w:r>
              <w:rPr>
                <w:rFonts w:ascii="Arial" w:hAnsi="Arial"/>
                <w:b/>
                <w:i w:val="0"/>
                <w:sz w:val="18"/>
              </w:rPr>
              <w:t>Diluted HEPS (cents)</w:t>
            </w:r>
          </w:p>
        </w:tc>
        <w:tc>
          <w:tcPr>
            <w:tcW w:type="dxa" w:w="1180"/>
            <w:shd w:val="clear" w:fill="FAFAFA"/>
          </w:tcPr>
          <w:p>
            <w:r/>
            <w:r>
              <w:rPr>
                <w:rFonts w:ascii="Arial" w:hAnsi="Arial"/>
                <w:b w:val="0"/>
                <w:i w:val="0"/>
                <w:sz w:val="18"/>
              </w:rPr>
              <w:t>1,361.7</w:t>
            </w:r>
          </w:p>
        </w:tc>
        <w:tc>
          <w:tcPr>
            <w:tcW w:type="dxa" w:w="1180"/>
            <w:shd w:val="clear" w:fill="FAFAFA"/>
          </w:tcPr>
          <w:p>
            <w:r/>
            <w:r>
              <w:rPr>
                <w:rFonts w:ascii="Arial" w:hAnsi="Arial"/>
                <w:b w:val="0"/>
                <w:i w:val="0"/>
                <w:sz w:val="18"/>
              </w:rPr>
              <w:t>1,193.5</w:t>
            </w:r>
          </w:p>
        </w:tc>
        <w:tc>
          <w:tcPr>
            <w:tcW w:type="dxa" w:w="1040"/>
            <w:shd w:val="clear" w:fill="FAFAFA"/>
          </w:tcPr>
          <w:p>
            <w:r/>
            <w:r>
              <w:rPr>
                <w:rFonts w:ascii="Arial" w:hAnsi="Arial"/>
                <w:b w:val="0"/>
                <w:i w:val="0"/>
                <w:sz w:val="18"/>
              </w:rPr>
              <w:t>+14.1%</w:t>
            </w:r>
          </w:p>
        </w:tc>
        <w:tc>
          <w:tcPr>
            <w:tcW w:type="dxa" w:w="1180"/>
            <w:shd w:val="clear" w:fill="FAFAFA"/>
          </w:tcPr>
          <w:p>
            <w:r/>
            <w:r>
              <w:rPr>
                <w:rFonts w:ascii="Arial" w:hAnsi="Arial"/>
                <w:b w:val="0"/>
                <w:i w:val="0"/>
                <w:sz w:val="18"/>
              </w:rPr>
              <w:t>652.8</w:t>
            </w:r>
          </w:p>
        </w:tc>
        <w:tc>
          <w:tcPr>
            <w:tcW w:type="dxa" w:w="1180"/>
            <w:shd w:val="clear" w:fill="FAFAFA"/>
          </w:tcPr>
          <w:p>
            <w:r/>
            <w:r>
              <w:rPr>
                <w:rFonts w:ascii="Arial" w:hAnsi="Arial"/>
                <w:b w:val="0"/>
                <w:i w:val="0"/>
                <w:sz w:val="18"/>
              </w:rPr>
              <w:t>603.9</w:t>
            </w:r>
          </w:p>
        </w:tc>
        <w:tc>
          <w:tcPr>
            <w:tcW w:type="dxa" w:w="900"/>
            <w:shd w:val="clear" w:fill="FAFAFA"/>
          </w:tcPr>
          <w:p>
            <w:r/>
            <w:r>
              <w:rPr>
                <w:rFonts w:ascii="Arial" w:hAnsi="Arial"/>
                <w:b w:val="0"/>
                <w:i w:val="0"/>
                <w:sz w:val="18"/>
              </w:rPr>
              <w:t>+8.1%</w:t>
            </w:r>
          </w:p>
        </w:tc>
      </w:tr>
      <w:tr>
        <w:tc>
          <w:tcPr>
            <w:tcW w:type="dxa" w:w="2700"/>
            <w:shd w:val="clear" w:fill="F2F2F2"/>
          </w:tcPr>
          <w:p>
            <w:r/>
            <w:r>
              <w:rPr>
                <w:rFonts w:ascii="Arial" w:hAnsi="Arial"/>
                <w:b/>
                <w:i w:val="0"/>
                <w:sz w:val="18"/>
              </w:rPr>
              <w:t>Dividend per share (cents)</w:t>
            </w:r>
          </w:p>
        </w:tc>
        <w:tc>
          <w:tcPr>
            <w:tcW w:type="dxa" w:w="1180"/>
          </w:tcPr>
          <w:p>
            <w:r/>
            <w:r>
              <w:rPr>
                <w:rFonts w:ascii="Arial" w:hAnsi="Arial"/>
                <w:b w:val="0"/>
                <w:i w:val="0"/>
                <w:sz w:val="18"/>
              </w:rPr>
              <w:t>886.0</w:t>
            </w:r>
          </w:p>
        </w:tc>
        <w:tc>
          <w:tcPr>
            <w:tcW w:type="dxa" w:w="1180"/>
          </w:tcPr>
          <w:p>
            <w:r/>
            <w:r>
              <w:rPr>
                <w:rFonts w:ascii="Arial" w:hAnsi="Arial"/>
                <w:b w:val="0"/>
                <w:i w:val="0"/>
                <w:sz w:val="18"/>
              </w:rPr>
              <w:t>776.0</w:t>
            </w:r>
          </w:p>
        </w:tc>
        <w:tc>
          <w:tcPr>
            <w:tcW w:type="dxa" w:w="1040"/>
          </w:tcPr>
          <w:p>
            <w:r/>
            <w:r>
              <w:rPr>
                <w:rFonts w:ascii="Arial" w:hAnsi="Arial"/>
                <w:b w:val="0"/>
                <w:i w:val="0"/>
                <w:sz w:val="18"/>
              </w:rPr>
              <w:t>+14.2%</w:t>
            </w:r>
          </w:p>
        </w:tc>
        <w:tc>
          <w:tcPr>
            <w:tcW w:type="dxa" w:w="1180"/>
          </w:tcPr>
          <w:p>
            <w:r/>
            <w:r>
              <w:rPr>
                <w:rFonts w:ascii="Arial" w:hAnsi="Arial"/>
                <w:b w:val="0"/>
                <w:i w:val="0"/>
                <w:sz w:val="18"/>
              </w:rPr>
              <w:t>258.0</w:t>
            </w:r>
          </w:p>
        </w:tc>
        <w:tc>
          <w:tcPr>
            <w:tcW w:type="dxa" w:w="1180"/>
          </w:tcPr>
          <w:p>
            <w:r/>
            <w:r>
              <w:rPr>
                <w:rFonts w:ascii="Arial" w:hAnsi="Arial"/>
                <w:b w:val="0"/>
                <w:i w:val="0"/>
                <w:sz w:val="18"/>
              </w:rPr>
              <w:t>238.0</w:t>
            </w:r>
          </w:p>
        </w:tc>
        <w:tc>
          <w:tcPr>
            <w:tcW w:type="dxa" w:w="900"/>
          </w:tcPr>
          <w:p>
            <w:r/>
            <w:r>
              <w:rPr>
                <w:rFonts w:ascii="Arial" w:hAnsi="Arial"/>
                <w:b w:val="0"/>
                <w:i w:val="0"/>
                <w:sz w:val="18"/>
              </w:rPr>
              <w:t>+8.4%</w:t>
            </w:r>
          </w:p>
        </w:tc>
      </w:tr>
      <w:tr>
        <w:tc>
          <w:tcPr>
            <w:tcW w:type="dxa" w:w="2700"/>
            <w:shd w:val="clear" w:fill="F2F2F2"/>
          </w:tcPr>
          <w:p>
            <w:r/>
            <w:r>
              <w:rPr>
                <w:rFonts w:ascii="Arial" w:hAnsi="Arial"/>
                <w:b/>
                <w:i w:val="0"/>
                <w:sz w:val="18"/>
              </w:rPr>
              <w:t>Payout ratio</w:t>
            </w:r>
          </w:p>
        </w:tc>
        <w:tc>
          <w:tcPr>
            <w:tcW w:type="dxa" w:w="1180"/>
            <w:shd w:val="clear" w:fill="FAFAFA"/>
          </w:tcPr>
          <w:p>
            <w:r/>
            <w:r>
              <w:rPr>
                <w:rFonts w:ascii="Arial" w:hAnsi="Arial"/>
                <w:b w:val="0"/>
                <w:i w:val="0"/>
                <w:sz w:val="18"/>
              </w:rPr>
              <w:t>65%</w:t>
            </w:r>
          </w:p>
        </w:tc>
        <w:tc>
          <w:tcPr>
            <w:tcW w:type="dxa" w:w="1180"/>
            <w:shd w:val="clear" w:fill="FAFAFA"/>
          </w:tcPr>
          <w:p>
            <w:r/>
            <w:r>
              <w:rPr>
                <w:rFonts w:ascii="Arial" w:hAnsi="Arial"/>
                <w:b w:val="0"/>
                <w:i w:val="0"/>
                <w:sz w:val="18"/>
              </w:rPr>
              <w:t>65%</w:t>
            </w:r>
          </w:p>
        </w:tc>
        <w:tc>
          <w:tcPr>
            <w:tcW w:type="dxa" w:w="1040"/>
            <w:shd w:val="clear" w:fill="FAFAFA"/>
          </w:tcPr>
          <w:p>
            <w:r/>
            <w:r>
              <w:rPr>
                <w:rFonts w:ascii="Arial" w:hAnsi="Arial"/>
                <w:b w:val="0"/>
                <w:i w:val="0"/>
                <w:sz w:val="18"/>
              </w:rPr>
              <w:t>flat</w:t>
            </w:r>
          </w:p>
        </w:tc>
        <w:tc>
          <w:tcPr>
            <w:tcW w:type="dxa" w:w="1180"/>
            <w:shd w:val="clear" w:fill="FAFAFA"/>
          </w:tcPr>
          <w:p>
            <w:r/>
            <w:r>
              <w:rPr>
                <w:rFonts w:ascii="Arial" w:hAnsi="Arial"/>
                <w:b w:val="0"/>
                <w:i w:val="0"/>
                <w:sz w:val="18"/>
              </w:rPr>
              <w:t>39.5%</w:t>
            </w:r>
          </w:p>
        </w:tc>
        <w:tc>
          <w:tcPr>
            <w:tcW w:type="dxa" w:w="1180"/>
            <w:shd w:val="clear" w:fill="FAFAFA"/>
          </w:tcPr>
          <w:p>
            <w:r/>
            <w:r>
              <w:rPr>
                <w:rFonts w:ascii="Arial" w:hAnsi="Arial"/>
                <w:b w:val="0"/>
                <w:i w:val="0"/>
                <w:sz w:val="18"/>
              </w:rPr>
              <w:t>39.4%</w:t>
            </w:r>
          </w:p>
        </w:tc>
        <w:tc>
          <w:tcPr>
            <w:tcW w:type="dxa" w:w="900"/>
            <w:shd w:val="clear" w:fill="FAFAFA"/>
          </w:tcPr>
          <w:p>
            <w:r/>
            <w:r>
              <w:rPr>
                <w:rFonts w:ascii="Arial" w:hAnsi="Arial"/>
                <w:b w:val="0"/>
                <w:i w:val="0"/>
                <w:sz w:val="18"/>
              </w:rPr>
              <w:t>+10bps</w:t>
            </w:r>
          </w:p>
        </w:tc>
      </w:tr>
      <w:tr>
        <w:tc>
          <w:tcPr>
            <w:tcW w:type="dxa" w:w="2700"/>
            <w:shd w:val="clear" w:fill="F2F2F2"/>
          </w:tcPr>
          <w:p>
            <w:r/>
            <w:r>
              <w:rPr>
                <w:rFonts w:ascii="Arial" w:hAnsi="Arial"/>
                <w:b/>
                <w:i w:val="0"/>
                <w:sz w:val="18"/>
              </w:rPr>
              <w:t>Return on equity</w:t>
            </w:r>
          </w:p>
        </w:tc>
        <w:tc>
          <w:tcPr>
            <w:tcW w:type="dxa" w:w="1180"/>
          </w:tcPr>
          <w:p>
            <w:r/>
            <w:r>
              <w:rPr>
                <w:rFonts w:ascii="Arial" w:hAnsi="Arial"/>
                <w:b w:val="0"/>
                <w:i w:val="0"/>
                <w:sz w:val="18"/>
              </w:rPr>
              <w:t>49.2%</w:t>
            </w:r>
          </w:p>
        </w:tc>
        <w:tc>
          <w:tcPr>
            <w:tcW w:type="dxa" w:w="1180"/>
          </w:tcPr>
          <w:p>
            <w:r/>
            <w:r>
              <w:rPr>
                <w:rFonts w:ascii="Arial" w:hAnsi="Arial"/>
                <w:b w:val="0"/>
                <w:i w:val="0"/>
                <w:sz w:val="18"/>
              </w:rPr>
              <w:t>46.4%</w:t>
            </w:r>
          </w:p>
        </w:tc>
        <w:tc>
          <w:tcPr>
            <w:tcW w:type="dxa" w:w="1040"/>
          </w:tcPr>
          <w:p>
            <w:r/>
            <w:r>
              <w:rPr>
                <w:rFonts w:ascii="Arial" w:hAnsi="Arial"/>
                <w:b w:val="0"/>
                <w:i w:val="0"/>
                <w:sz w:val="18"/>
              </w:rPr>
              <w:t>+280bps</w:t>
            </w:r>
          </w:p>
        </w:tc>
        <w:tc>
          <w:tcPr>
            <w:tcW w:type="dxa" w:w="1180"/>
          </w:tcPr>
          <w:p>
            <w:r/>
            <w:r>
              <w:rPr>
                <w:rFonts w:ascii="Arial" w:hAnsi="Arial"/>
                <w:b w:val="0"/>
                <w:i w:val="0"/>
                <w:sz w:val="18"/>
              </w:rPr>
              <w:t>45.7%</w:t>
            </w:r>
          </w:p>
        </w:tc>
        <w:tc>
          <w:tcPr>
            <w:tcW w:type="dxa" w:w="1180"/>
          </w:tcPr>
          <w:p>
            <w:r/>
            <w:r>
              <w:rPr>
                <w:rFonts w:ascii="Arial" w:hAnsi="Arial"/>
                <w:b w:val="0"/>
                <w:i w:val="0"/>
                <w:sz w:val="18"/>
              </w:rPr>
              <w:t>46.2%</w:t>
            </w:r>
          </w:p>
        </w:tc>
        <w:tc>
          <w:tcPr>
            <w:tcW w:type="dxa" w:w="900"/>
          </w:tcPr>
          <w:p>
            <w:r/>
            <w:r>
              <w:rPr>
                <w:rFonts w:ascii="Arial" w:hAnsi="Arial"/>
                <w:b w:val="0"/>
                <w:i w:val="0"/>
                <w:sz w:val="18"/>
              </w:rPr>
              <w:t>-50bps</w:t>
            </w:r>
          </w:p>
        </w:tc>
      </w:tr>
      <w:tr>
        <w:tc>
          <w:tcPr>
            <w:tcW w:type="dxa" w:w="2700"/>
            <w:shd w:val="clear" w:fill="F2F2F2"/>
          </w:tcPr>
          <w:p>
            <w:r/>
            <w:r>
              <w:rPr>
                <w:rFonts w:ascii="Arial" w:hAnsi="Arial"/>
                <w:b/>
                <w:i w:val="0"/>
                <w:sz w:val="18"/>
              </w:rPr>
              <w:t>Retail pharmacy market share</w:t>
            </w:r>
          </w:p>
        </w:tc>
        <w:tc>
          <w:tcPr>
            <w:tcW w:type="dxa" w:w="1180"/>
            <w:shd w:val="clear" w:fill="FAFAFA"/>
          </w:tcPr>
          <w:p>
            <w:r/>
            <w:r>
              <w:rPr>
                <w:rFonts w:ascii="Arial" w:hAnsi="Arial"/>
                <w:b w:val="0"/>
                <w:i w:val="0"/>
                <w:sz w:val="18"/>
              </w:rPr>
              <w:t>n/d</w:t>
            </w:r>
          </w:p>
        </w:tc>
        <w:tc>
          <w:tcPr>
            <w:tcW w:type="dxa" w:w="1180"/>
            <w:shd w:val="clear" w:fill="FAFAFA"/>
          </w:tcPr>
          <w:p>
            <w:r/>
            <w:r>
              <w:rPr>
                <w:rFonts w:ascii="Arial" w:hAnsi="Arial"/>
                <w:b w:val="0"/>
                <w:i w:val="0"/>
                <w:sz w:val="18"/>
              </w:rPr>
              <w:t>n/d</w:t>
            </w:r>
          </w:p>
        </w:tc>
        <w:tc>
          <w:tcPr>
            <w:tcW w:type="dxa" w:w="1040"/>
            <w:shd w:val="clear" w:fill="FAFAFA"/>
          </w:tcPr>
          <w:p>
            <w:r/>
            <w:r>
              <w:rPr>
                <w:rFonts w:ascii="Arial" w:hAnsi="Arial"/>
                <w:b w:val="0"/>
                <w:i w:val="0"/>
                <w:sz w:val="18"/>
              </w:rPr>
              <w:t>—</w:t>
            </w:r>
          </w:p>
        </w:tc>
        <w:tc>
          <w:tcPr>
            <w:tcW w:type="dxa" w:w="1180"/>
            <w:shd w:val="clear" w:fill="FAFAFA"/>
          </w:tcPr>
          <w:p>
            <w:r/>
            <w:r>
              <w:rPr>
                <w:rFonts w:ascii="Arial" w:hAnsi="Arial"/>
                <w:b w:val="0"/>
                <w:i w:val="0"/>
                <w:sz w:val="18"/>
              </w:rPr>
              <w:t>24.9%</w:t>
            </w:r>
          </w:p>
        </w:tc>
        <w:tc>
          <w:tcPr>
            <w:tcW w:type="dxa" w:w="1180"/>
            <w:shd w:val="clear" w:fill="FAFAFA"/>
          </w:tcPr>
          <w:p>
            <w:r/>
            <w:r>
              <w:rPr>
                <w:rFonts w:ascii="Arial" w:hAnsi="Arial"/>
                <w:b w:val="0"/>
                <w:i w:val="0"/>
                <w:sz w:val="18"/>
              </w:rPr>
              <w:t>24.2%</w:t>
            </w:r>
          </w:p>
        </w:tc>
        <w:tc>
          <w:tcPr>
            <w:tcW w:type="dxa" w:w="900"/>
            <w:shd w:val="clear" w:fill="FAFAFA"/>
          </w:tcPr>
          <w:p>
            <w:r/>
            <w:r>
              <w:rPr>
                <w:rFonts w:ascii="Arial" w:hAnsi="Arial"/>
                <w:b w:val="0"/>
                <w:i w:val="0"/>
                <w:sz w:val="18"/>
              </w:rPr>
              <w:t>+70bps</w:t>
            </w:r>
          </w:p>
        </w:tc>
      </w:tr>
      <w:tr>
        <w:tc>
          <w:tcPr>
            <w:tcW w:type="dxa" w:w="2700"/>
            <w:shd w:val="clear" w:fill="F2F2F2"/>
          </w:tcPr>
          <w:p>
            <w:r/>
            <w:r>
              <w:rPr>
                <w:rFonts w:ascii="Arial" w:hAnsi="Arial"/>
                <w:b/>
                <w:i w:val="0"/>
                <w:sz w:val="18"/>
              </w:rPr>
              <w:t>Number of stores</w:t>
            </w:r>
          </w:p>
        </w:tc>
        <w:tc>
          <w:tcPr>
            <w:tcW w:type="dxa" w:w="1180"/>
          </w:tcPr>
          <w:p>
            <w:r/>
            <w:r>
              <w:rPr>
                <w:rFonts w:ascii="Arial" w:hAnsi="Arial"/>
                <w:b w:val="0"/>
                <w:i w:val="0"/>
                <w:sz w:val="18"/>
              </w:rPr>
              <w:t>1,060</w:t>
            </w:r>
          </w:p>
        </w:tc>
        <w:tc>
          <w:tcPr>
            <w:tcW w:type="dxa" w:w="1180"/>
          </w:tcPr>
          <w:p>
            <w:r/>
            <w:r>
              <w:rPr>
                <w:rFonts w:ascii="Arial" w:hAnsi="Arial"/>
                <w:b w:val="0"/>
                <w:i w:val="0"/>
                <w:sz w:val="18"/>
              </w:rPr>
              <w:t>1,002</w:t>
            </w:r>
          </w:p>
        </w:tc>
        <w:tc>
          <w:tcPr>
            <w:tcW w:type="dxa" w:w="1040"/>
          </w:tcPr>
          <w:p>
            <w:r/>
            <w:r>
              <w:rPr>
                <w:rFonts w:ascii="Arial" w:hAnsi="Arial"/>
                <w:b w:val="0"/>
                <w:i w:val="0"/>
                <w:sz w:val="18"/>
              </w:rPr>
              <w:t>+5.8%</w:t>
            </w:r>
          </w:p>
        </w:tc>
        <w:tc>
          <w:tcPr>
            <w:tcW w:type="dxa" w:w="1180"/>
          </w:tcPr>
          <w:p>
            <w:r/>
            <w:r>
              <w:rPr>
                <w:rFonts w:ascii="Arial" w:hAnsi="Arial"/>
                <w:b w:val="0"/>
                <w:i w:val="0"/>
                <w:sz w:val="18"/>
              </w:rPr>
              <w:t>1,075</w:t>
            </w:r>
          </w:p>
        </w:tc>
        <w:tc>
          <w:tcPr>
            <w:tcW w:type="dxa" w:w="1180"/>
          </w:tcPr>
          <w:p>
            <w:r/>
            <w:r>
              <w:rPr>
                <w:rFonts w:ascii="Arial" w:hAnsi="Arial"/>
                <w:b w:val="0"/>
                <w:i w:val="0"/>
                <w:sz w:val="18"/>
              </w:rPr>
              <w:t>1,016</w:t>
            </w:r>
          </w:p>
        </w:tc>
        <w:tc>
          <w:tcPr>
            <w:tcW w:type="dxa" w:w="900"/>
          </w:tcPr>
          <w:p>
            <w:r/>
            <w:r>
              <w:rPr>
                <w:rFonts w:ascii="Arial" w:hAnsi="Arial"/>
                <w:b w:val="0"/>
                <w:i w:val="0"/>
                <w:sz w:val="18"/>
              </w:rPr>
              <w:t>+5.8%</w:t>
            </w:r>
          </w:p>
        </w:tc>
      </w:tr>
      <w:tr>
        <w:tc>
          <w:tcPr>
            <w:tcW w:type="dxa" w:w="2700"/>
            <w:shd w:val="clear" w:fill="F2F2F2"/>
          </w:tcPr>
          <w:p>
            <w:r/>
            <w:r>
              <w:rPr>
                <w:rFonts w:ascii="Arial" w:hAnsi="Arial"/>
                <w:b/>
                <w:i w:val="0"/>
                <w:sz w:val="18"/>
              </w:rPr>
              <w:t>ClubCard active members (m)</w:t>
            </w:r>
          </w:p>
        </w:tc>
        <w:tc>
          <w:tcPr>
            <w:tcW w:type="dxa" w:w="1180"/>
            <w:shd w:val="clear" w:fill="FAFAFA"/>
          </w:tcPr>
          <w:p>
            <w:r/>
            <w:r>
              <w:rPr>
                <w:rFonts w:ascii="Arial" w:hAnsi="Arial"/>
                <w:b w:val="0"/>
                <w:i w:val="0"/>
                <w:sz w:val="18"/>
              </w:rPr>
              <w:t>12.6</w:t>
            </w:r>
          </w:p>
        </w:tc>
        <w:tc>
          <w:tcPr>
            <w:tcW w:type="dxa" w:w="1180"/>
            <w:shd w:val="clear" w:fill="FAFAFA"/>
          </w:tcPr>
          <w:p>
            <w:r/>
            <w:r>
              <w:rPr>
                <w:rFonts w:ascii="Arial" w:hAnsi="Arial"/>
                <w:b w:val="0"/>
                <w:i w:val="0"/>
                <w:sz w:val="18"/>
              </w:rPr>
              <w:t>n/d</w:t>
            </w:r>
          </w:p>
        </w:tc>
        <w:tc>
          <w:tcPr>
            <w:tcW w:type="dxa" w:w="1040"/>
            <w:shd w:val="clear" w:fill="FAFAFA"/>
          </w:tcPr>
          <w:p>
            <w:r/>
            <w:r>
              <w:rPr>
                <w:rFonts w:ascii="Arial" w:hAnsi="Arial"/>
                <w:b w:val="0"/>
                <w:i w:val="0"/>
                <w:sz w:val="18"/>
              </w:rPr>
              <w:t>—</w:t>
            </w:r>
          </w:p>
        </w:tc>
        <w:tc>
          <w:tcPr>
            <w:tcW w:type="dxa" w:w="1180"/>
            <w:shd w:val="clear" w:fill="FAFAFA"/>
          </w:tcPr>
          <w:p>
            <w:r/>
            <w:r>
              <w:rPr>
                <w:rFonts w:ascii="Arial" w:hAnsi="Arial"/>
                <w:b w:val="0"/>
                <w:i w:val="0"/>
                <w:sz w:val="18"/>
              </w:rPr>
              <w:t>12.9</w:t>
            </w:r>
          </w:p>
        </w:tc>
        <w:tc>
          <w:tcPr>
            <w:tcW w:type="dxa" w:w="1180"/>
            <w:shd w:val="clear" w:fill="FAFAFA"/>
          </w:tcPr>
          <w:p>
            <w:r/>
            <w:r>
              <w:rPr>
                <w:rFonts w:ascii="Arial" w:hAnsi="Arial"/>
                <w:b w:val="0"/>
                <w:i w:val="0"/>
                <w:sz w:val="18"/>
              </w:rPr>
              <w:t>12.1 (e)</w:t>
            </w:r>
          </w:p>
        </w:tc>
        <w:tc>
          <w:tcPr>
            <w:tcW w:type="dxa" w:w="900"/>
            <w:shd w:val="clear" w:fill="FAFAFA"/>
          </w:tcPr>
          <w:p>
            <w:r/>
            <w:r>
              <w:rPr>
                <w:rFonts w:ascii="Arial" w:hAnsi="Arial"/>
                <w:b w:val="0"/>
                <w:i w:val="0"/>
                <w:sz w:val="18"/>
              </w:rPr>
              <w:t>+0.8m</w:t>
            </w:r>
          </w:p>
        </w:tc>
      </w:tr>
    </w:tbl>
    <w:p>
      <w:pPr>
        <w:spacing w:after="40" w:before="0"/>
      </w:pPr>
    </w:p>
    <w:p>
      <w:pPr>
        <w:spacing w:after="160" w:before="0"/>
      </w:pPr>
      <w:r>
        <w:rPr>
          <w:rFonts w:ascii="Arial" w:hAnsi="Arial"/>
          <w:b/>
          <w:i w:val="0"/>
          <w:sz w:val="21"/>
        </w:rPr>
        <w:t xml:space="preserve">Company guidance (H1 FY2026 SENS): </w:t>
      </w:r>
      <w:r>
        <w:rPr>
          <w:rFonts w:ascii="Arial" w:hAnsi="Arial"/>
          <w:b w:val="0"/>
          <w:i w:val="0"/>
          <w:sz w:val="21"/>
        </w:rPr>
        <w:t xml:space="preserve">directors forecast FY2026 diluted HEPS will grow </w:t>
      </w:r>
      <w:r>
        <w:rPr>
          <w:rFonts w:ascii="Arial" w:hAnsi="Arial"/>
          <w:b/>
          <w:i w:val="0"/>
          <w:sz w:val="21"/>
        </w:rPr>
        <w:t>between 4% and 9%</w:t>
      </w:r>
      <w:r>
        <w:rPr>
          <w:rFonts w:ascii="Arial" w:hAnsi="Arial"/>
          <w:b w:val="0"/>
          <w:i w:val="0"/>
          <w:sz w:val="21"/>
        </w:rPr>
        <w:t xml:space="preserve"> versus FY2025, assuming a constrained H2 retail environment and that geopolitical conflict adversely affects SA's macro outlook. H1 already delivered +8.1%, so the full-year floor is comparatively well-supported.</w:t>
      </w:r>
    </w:p>
    <w:p>
      <w:pPr>
        <w:pStyle w:val="Heading1"/>
      </w:pPr>
      <w:r>
        <w:t>3. Sentiment &amp; language analysis</w:t>
      </w:r>
    </w:p>
    <w:p>
      <w:pPr>
        <w:spacing w:after="120" w:before="0"/>
      </w:pPr>
      <w:r>
        <w:rPr>
          <w:rFonts w:ascii="Arial" w:hAnsi="Arial"/>
          <w:b w:val="0"/>
          <w:i w:val="0"/>
          <w:sz w:val="21"/>
        </w:rPr>
        <w:t>Method: a positive/negative lexicon was counted across the full text of each results announcement, then cross-read against the analyst commentary in the captured press coverage. The token count is a directional signal, not a precise score — note that 'loss' is inflated by the accounting phrase 'profit or loss' and is stripped out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00"/>
            <w:shd w:val="clear" w:fill="1F3864"/>
          </w:tcPr>
          <w:p>
            <w:r/>
            <w:r>
              <w:rPr>
                <w:rFonts w:ascii="Arial" w:hAnsi="Arial"/>
                <w:b/>
                <w:i w:val="0"/>
                <w:color w:val="FFFFFF"/>
                <w:sz w:val="18"/>
              </w:rPr>
              <w:t>Source document</w:t>
            </w:r>
          </w:p>
        </w:tc>
        <w:tc>
          <w:tcPr>
            <w:tcW w:type="dxa" w:w="1700"/>
            <w:shd w:val="clear" w:fill="2E5496"/>
          </w:tcPr>
          <w:p>
            <w:r/>
            <w:r>
              <w:rPr>
                <w:rFonts w:ascii="Arial" w:hAnsi="Arial"/>
                <w:b/>
                <w:i w:val="0"/>
                <w:color w:val="FFFFFF"/>
                <w:sz w:val="18"/>
              </w:rPr>
              <w:t>Positive hits</w:t>
            </w:r>
          </w:p>
        </w:tc>
        <w:tc>
          <w:tcPr>
            <w:tcW w:type="dxa" w:w="2560"/>
            <w:shd w:val="clear" w:fill="C00000"/>
          </w:tcPr>
          <w:p>
            <w:r/>
            <w:r>
              <w:rPr>
                <w:rFonts w:ascii="Arial" w:hAnsi="Arial"/>
                <w:b/>
                <w:i w:val="0"/>
                <w:color w:val="FFFFFF"/>
                <w:sz w:val="18"/>
              </w:rPr>
              <w:t>Negative hits (ex-'profit or loss')</w:t>
            </w:r>
          </w:p>
        </w:tc>
        <w:tc>
          <w:tcPr>
            <w:tcW w:type="dxa" w:w="2000"/>
            <w:shd w:val="clear" w:fill="1F3864"/>
          </w:tcPr>
          <w:p>
            <w:r/>
            <w:r>
              <w:rPr>
                <w:rFonts w:ascii="Arial" w:hAnsi="Arial"/>
                <w:b/>
                <w:i w:val="0"/>
                <w:color w:val="FFFFFF"/>
                <w:sz w:val="18"/>
              </w:rPr>
              <w:t>Tone read</w:t>
            </w:r>
          </w:p>
        </w:tc>
      </w:tr>
      <w:tr>
        <w:tc>
          <w:tcPr>
            <w:tcW w:type="dxa" w:w="3100"/>
            <w:shd w:val="clear" w:fill="F2F2F2"/>
          </w:tcPr>
          <w:p>
            <w:r/>
            <w:r>
              <w:rPr>
                <w:rFonts w:ascii="Arial" w:hAnsi="Arial"/>
                <w:b/>
                <w:i w:val="0"/>
                <w:sz w:val="18"/>
              </w:rPr>
              <w:t>FY2025 annual results (Oct 2025)</w:t>
            </w:r>
          </w:p>
        </w:tc>
        <w:tc>
          <w:tcPr>
            <w:tcW w:type="dxa" w:w="1700"/>
          </w:tcPr>
          <w:p>
            <w:r/>
            <w:r>
              <w:rPr>
                <w:rFonts w:ascii="Arial" w:hAnsi="Arial"/>
                <w:b w:val="0"/>
                <w:i w:val="0"/>
                <w:sz w:val="18"/>
              </w:rPr>
              <w:t>66</w:t>
            </w:r>
          </w:p>
        </w:tc>
        <w:tc>
          <w:tcPr>
            <w:tcW w:type="dxa" w:w="2560"/>
          </w:tcPr>
          <w:p>
            <w:r/>
            <w:r>
              <w:rPr>
                <w:rFonts w:ascii="Arial" w:hAnsi="Arial"/>
                <w:b w:val="0"/>
                <w:i w:val="0"/>
                <w:sz w:val="18"/>
              </w:rPr>
              <w:t>~8</w:t>
            </w:r>
          </w:p>
        </w:tc>
        <w:tc>
          <w:tcPr>
            <w:tcW w:type="dxa" w:w="2000"/>
          </w:tcPr>
          <w:p>
            <w:r/>
            <w:r>
              <w:rPr>
                <w:rFonts w:ascii="Arial" w:hAnsi="Arial"/>
                <w:b w:val="0"/>
                <w:i w:val="0"/>
                <w:sz w:val="18"/>
              </w:rPr>
              <w:t>Confidently positive</w:t>
            </w:r>
          </w:p>
        </w:tc>
      </w:tr>
      <w:tr>
        <w:tc>
          <w:tcPr>
            <w:tcW w:type="dxa" w:w="3100"/>
            <w:shd w:val="clear" w:fill="F2F2F2"/>
          </w:tcPr>
          <w:p>
            <w:r/>
            <w:r>
              <w:rPr>
                <w:rFonts w:ascii="Arial" w:hAnsi="Arial"/>
                <w:b/>
                <w:i w:val="0"/>
                <w:sz w:val="18"/>
              </w:rPr>
              <w:t>H1 FY2026 interim results (Apr 2026)</w:t>
            </w:r>
          </w:p>
        </w:tc>
        <w:tc>
          <w:tcPr>
            <w:tcW w:type="dxa" w:w="1700"/>
            <w:shd w:val="clear" w:fill="FAFAFA"/>
          </w:tcPr>
          <w:p>
            <w:r/>
            <w:r>
              <w:rPr>
                <w:rFonts w:ascii="Arial" w:hAnsi="Arial"/>
                <w:b w:val="0"/>
                <w:i w:val="0"/>
                <w:sz w:val="18"/>
              </w:rPr>
              <w:t>41</w:t>
            </w:r>
          </w:p>
        </w:tc>
        <w:tc>
          <w:tcPr>
            <w:tcW w:type="dxa" w:w="2560"/>
            <w:shd w:val="clear" w:fill="FAFAFA"/>
          </w:tcPr>
          <w:p>
            <w:r/>
            <w:r>
              <w:rPr>
                <w:rFonts w:ascii="Arial" w:hAnsi="Arial"/>
                <w:b w:val="0"/>
                <w:i w:val="0"/>
                <w:sz w:val="18"/>
              </w:rPr>
              <w:t>~26</w:t>
            </w:r>
          </w:p>
        </w:tc>
        <w:tc>
          <w:tcPr>
            <w:tcW w:type="dxa" w:w="2000"/>
            <w:shd w:val="clear" w:fill="FAFAFA"/>
          </w:tcPr>
          <w:p>
            <w:r/>
            <w:r>
              <w:rPr>
                <w:rFonts w:ascii="Arial" w:hAnsi="Arial"/>
                <w:b w:val="0"/>
                <w:i w:val="0"/>
                <w:sz w:val="18"/>
              </w:rPr>
              <w:t>Balanced / cautious</w:t>
            </w:r>
          </w:p>
        </w:tc>
      </w:tr>
    </w:tbl>
    <w:p>
      <w:pPr>
        <w:spacing w:after="40" w:before="0"/>
      </w:pPr>
    </w:p>
    <w:p>
      <w:pPr>
        <w:spacing w:after="160" w:before="0"/>
      </w:pPr>
      <w:r>
        <w:rPr>
          <w:rFonts w:ascii="Arial" w:hAnsi="Arial"/>
          <w:b/>
          <w:i w:val="0"/>
          <w:sz w:val="21"/>
        </w:rPr>
        <w:t xml:space="preserve">The signal: </w:t>
      </w:r>
      <w:r>
        <w:rPr>
          <w:rFonts w:ascii="Arial" w:hAnsi="Arial"/>
          <w:b w:val="0"/>
          <w:i w:val="0"/>
          <w:sz w:val="21"/>
        </w:rPr>
        <w:t>management tone has cooled sharply in six months — from roughly 8:1 positive-to-negative in FY2025 to about 1.6:1 in H1 FY2026. Recurring positives ('resilient', 'strong growth', 'market-leading', 'milestone', 'committed') now sit alongside an unusually dense cluster of caution words ('constrained', 'pressure', 'delays', 'impacted', 'aggressive [competitor] discounting', 'conflict'). That tonal compression typically precedes consensus drifting toward the lower half of guidance.</w:t>
      </w:r>
    </w:p>
    <w:p>
      <w:pPr>
        <w:pStyle w:val="Heading2"/>
      </w:pPr>
      <w:r>
        <w:t>What the words map to</w:t>
      </w:r>
    </w:p>
    <w:tbl>
      <w:tblPr>
        <w:tblStyle w:val="TableGrid"/>
        <w:tblW w:type="auto" w:w="0"/>
        <w:jc w:val="center"/>
        <w:tblLook w:firstColumn="1" w:firstRow="1" w:lastColumn="0" w:lastRow="0" w:noHBand="0" w:noVBand="1" w:val="04A0"/>
      </w:tblPr>
      <w:tblGrid>
        <w:gridCol w:w="3120"/>
        <w:gridCol w:w="3120"/>
        <w:gridCol w:w="3120"/>
      </w:tblGrid>
      <w:tr>
        <w:tc>
          <w:tcPr>
            <w:tcW w:type="dxa" w:w="4400"/>
            <w:shd w:val="clear" w:fill="1F3864"/>
          </w:tcPr>
          <w:p>
            <w:r/>
            <w:r>
              <w:rPr>
                <w:rFonts w:ascii="Arial" w:hAnsi="Arial"/>
                <w:b/>
                <w:i w:val="0"/>
                <w:color w:val="FFFFFF"/>
                <w:sz w:val="18"/>
              </w:rPr>
              <w:t>Language signal (source)</w:t>
            </w:r>
          </w:p>
        </w:tc>
        <w:tc>
          <w:tcPr>
            <w:tcW w:type="dxa" w:w="1360"/>
            <w:shd w:val="clear" w:fill="2E5496"/>
          </w:tcPr>
          <w:p>
            <w:r/>
            <w:r>
              <w:rPr>
                <w:rFonts w:ascii="Arial" w:hAnsi="Arial"/>
                <w:b/>
                <w:i w:val="0"/>
                <w:color w:val="FFFFFF"/>
                <w:sz w:val="18"/>
              </w:rPr>
              <w:t>Polarity</w:t>
            </w:r>
          </w:p>
        </w:tc>
        <w:tc>
          <w:tcPr>
            <w:tcW w:type="dxa" w:w="3600"/>
            <w:shd w:val="clear" w:fill="1F3864"/>
          </w:tcPr>
          <w:p>
            <w:r/>
            <w:r>
              <w:rPr>
                <w:rFonts w:ascii="Arial" w:hAnsi="Arial"/>
                <w:b/>
                <w:i w:val="0"/>
                <w:color w:val="FFFFFF"/>
                <w:sz w:val="18"/>
              </w:rPr>
              <w:t>Reads through to</w:t>
            </w:r>
          </w:p>
        </w:tc>
      </w:tr>
      <w:tr>
        <w:tc>
          <w:tcPr>
            <w:tcW w:type="dxa" w:w="4400"/>
            <w:shd w:val="clear" w:fill="F2F2F2"/>
          </w:tcPr>
          <w:p>
            <w:r/>
            <w:r>
              <w:rPr>
                <w:rFonts w:ascii="Arial" w:hAnsi="Arial"/>
                <w:b/>
                <w:i w:val="0"/>
                <w:sz w:val="18"/>
              </w:rPr>
              <w:t>'retail pharmacy market share strengthening to 24.9% from 24.2%'; 'pharmacy sales +8.6%' (H1 FY2026)</w:t>
            </w:r>
          </w:p>
        </w:tc>
        <w:tc>
          <w:tcPr>
            <w:tcW w:type="dxa" w:w="1360"/>
          </w:tcPr>
          <w:p>
            <w:r/>
            <w:r>
              <w:rPr>
                <w:rFonts w:ascii="Arial" w:hAnsi="Arial"/>
                <w:b w:val="0"/>
                <w:i w:val="0"/>
                <w:sz w:val="18"/>
              </w:rPr>
              <w:t>Positive</w:t>
            </w:r>
          </w:p>
        </w:tc>
        <w:tc>
          <w:tcPr>
            <w:tcW w:type="dxa" w:w="3600"/>
          </w:tcPr>
          <w:p>
            <w:r/>
            <w:r>
              <w:rPr>
                <w:rFonts w:ascii="Arial" w:hAnsi="Arial"/>
                <w:b w:val="0"/>
                <w:i w:val="0"/>
                <w:sz w:val="18"/>
              </w:rPr>
              <w:t>Market-share UPGRADE — core franchise still gaining</w:t>
            </w:r>
          </w:p>
        </w:tc>
      </w:tr>
      <w:tr>
        <w:tc>
          <w:tcPr>
            <w:tcW w:type="dxa" w:w="4400"/>
            <w:shd w:val="clear" w:fill="F2F2F2"/>
          </w:tcPr>
          <w:p>
            <w:r/>
            <w:r>
              <w:rPr>
                <w:rFonts w:ascii="Arial" w:hAnsi="Arial"/>
                <w:b/>
                <w:i w:val="0"/>
                <w:sz w:val="18"/>
              </w:rPr>
              <w:t>'private label... strong growth', target 35% of front-shop sales; retail margin +70bps (H1)</w:t>
            </w:r>
          </w:p>
        </w:tc>
        <w:tc>
          <w:tcPr>
            <w:tcW w:type="dxa" w:w="1360"/>
            <w:shd w:val="clear" w:fill="FAFAFA"/>
          </w:tcPr>
          <w:p>
            <w:r/>
            <w:r>
              <w:rPr>
                <w:rFonts w:ascii="Arial" w:hAnsi="Arial"/>
                <w:b w:val="0"/>
                <w:i w:val="0"/>
                <w:sz w:val="18"/>
              </w:rPr>
              <w:t>Positive</w:t>
            </w:r>
          </w:p>
        </w:tc>
        <w:tc>
          <w:tcPr>
            <w:tcW w:type="dxa" w:w="3600"/>
            <w:shd w:val="clear" w:fill="FAFAFA"/>
          </w:tcPr>
          <w:p>
            <w:r/>
            <w:r>
              <w:rPr>
                <w:rFonts w:ascii="Arial" w:hAnsi="Arial"/>
                <w:b w:val="0"/>
                <w:i w:val="0"/>
                <w:sz w:val="18"/>
              </w:rPr>
              <w:t>Margin / earnings support</w:t>
            </w:r>
          </w:p>
        </w:tc>
      </w:tr>
      <w:tr>
        <w:tc>
          <w:tcPr>
            <w:tcW w:type="dxa" w:w="4400"/>
            <w:shd w:val="clear" w:fill="F2F2F2"/>
          </w:tcPr>
          <w:p>
            <w:r/>
            <w:r>
              <w:rPr>
                <w:rFonts w:ascii="Arial" w:hAnsi="Arial"/>
                <w:b/>
                <w:i w:val="0"/>
                <w:sz w:val="18"/>
              </w:rPr>
              <w:t>'industry-leading return on equity 49.2%'; 'committed to medium-term target of 1,200 stores'</w:t>
            </w:r>
          </w:p>
        </w:tc>
        <w:tc>
          <w:tcPr>
            <w:tcW w:type="dxa" w:w="1360"/>
          </w:tcPr>
          <w:p>
            <w:r/>
            <w:r>
              <w:rPr>
                <w:rFonts w:ascii="Arial" w:hAnsi="Arial"/>
                <w:b w:val="0"/>
                <w:i w:val="0"/>
                <w:sz w:val="18"/>
              </w:rPr>
              <w:t>Positive</w:t>
            </w:r>
          </w:p>
        </w:tc>
        <w:tc>
          <w:tcPr>
            <w:tcW w:type="dxa" w:w="3600"/>
          </w:tcPr>
          <w:p>
            <w:r/>
            <w:r>
              <w:rPr>
                <w:rFonts w:ascii="Arial" w:hAnsi="Arial"/>
                <w:b w:val="0"/>
                <w:i w:val="0"/>
                <w:sz w:val="18"/>
              </w:rPr>
              <w:t>Quality + growth runway intact</w:t>
            </w:r>
          </w:p>
        </w:tc>
      </w:tr>
      <w:tr>
        <w:tc>
          <w:tcPr>
            <w:tcW w:type="dxa" w:w="4400"/>
            <w:shd w:val="clear" w:fill="F2F2F2"/>
          </w:tcPr>
          <w:p>
            <w:r/>
            <w:r>
              <w:rPr>
                <w:rFonts w:ascii="Arial" w:hAnsi="Arial"/>
                <w:b/>
                <w:i w:val="0"/>
                <w:sz w:val="18"/>
              </w:rPr>
              <w:t>'constrained consumer spending'; 'consumer environment... under significant pressure in H2'</w:t>
            </w:r>
          </w:p>
        </w:tc>
        <w:tc>
          <w:tcPr>
            <w:tcW w:type="dxa" w:w="1360"/>
            <w:shd w:val="clear" w:fill="FAFAFA"/>
          </w:tcPr>
          <w:p>
            <w:r/>
            <w:r>
              <w:rPr>
                <w:rFonts w:ascii="Arial" w:hAnsi="Arial"/>
                <w:b w:val="0"/>
                <w:i w:val="0"/>
                <w:sz w:val="18"/>
              </w:rPr>
              <w:t>Negative</w:t>
            </w:r>
          </w:p>
        </w:tc>
        <w:tc>
          <w:tcPr>
            <w:tcW w:type="dxa" w:w="3600"/>
            <w:shd w:val="clear" w:fill="FAFAFA"/>
          </w:tcPr>
          <w:p>
            <w:r/>
            <w:r>
              <w:rPr>
                <w:rFonts w:ascii="Arial" w:hAnsi="Arial"/>
                <w:b w:val="0"/>
                <w:i w:val="0"/>
                <w:sz w:val="18"/>
              </w:rPr>
              <w:t>Top-line / volume headwind</w:t>
            </w:r>
          </w:p>
        </w:tc>
      </w:tr>
      <w:tr>
        <w:tc>
          <w:tcPr>
            <w:tcW w:type="dxa" w:w="4400"/>
            <w:shd w:val="clear" w:fill="F2F2F2"/>
          </w:tcPr>
          <w:p>
            <w:r/>
            <w:r>
              <w:rPr>
                <w:rFonts w:ascii="Arial" w:hAnsi="Arial"/>
                <w:b/>
                <w:i w:val="0"/>
                <w:sz w:val="18"/>
              </w:rPr>
              <w:t>'internal systems challenges'; WMS delay cut retail turnover ~R175m (0.9% of retail sales)</w:t>
            </w:r>
          </w:p>
        </w:tc>
        <w:tc>
          <w:tcPr>
            <w:tcW w:type="dxa" w:w="1360"/>
          </w:tcPr>
          <w:p>
            <w:r/>
            <w:r>
              <w:rPr>
                <w:rFonts w:ascii="Arial" w:hAnsi="Arial"/>
                <w:b w:val="0"/>
                <w:i w:val="0"/>
                <w:sz w:val="18"/>
              </w:rPr>
              <w:t>Negative</w:t>
            </w:r>
          </w:p>
        </w:tc>
        <w:tc>
          <w:tcPr>
            <w:tcW w:type="dxa" w:w="3600"/>
          </w:tcPr>
          <w:p>
            <w:r/>
            <w:r>
              <w:rPr>
                <w:rFonts w:ascii="Arial" w:hAnsi="Arial"/>
                <w:b w:val="0"/>
                <w:i w:val="0"/>
                <w:sz w:val="18"/>
              </w:rPr>
              <w:t>Near-term earnings drag (largely one-off)</w:t>
            </w:r>
          </w:p>
        </w:tc>
      </w:tr>
      <w:tr>
        <w:tc>
          <w:tcPr>
            <w:tcW w:type="dxa" w:w="4400"/>
            <w:shd w:val="clear" w:fill="F2F2F2"/>
          </w:tcPr>
          <w:p>
            <w:r/>
            <w:r>
              <w:rPr>
                <w:rFonts w:ascii="Arial" w:hAnsi="Arial"/>
                <w:b/>
                <w:i w:val="0"/>
                <w:sz w:val="18"/>
              </w:rPr>
              <w:t>'aggressive competitor discounting over the festive season'</w:t>
            </w:r>
          </w:p>
        </w:tc>
        <w:tc>
          <w:tcPr>
            <w:tcW w:type="dxa" w:w="1360"/>
            <w:shd w:val="clear" w:fill="FAFAFA"/>
          </w:tcPr>
          <w:p>
            <w:r/>
            <w:r>
              <w:rPr>
                <w:rFonts w:ascii="Arial" w:hAnsi="Arial"/>
                <w:b w:val="0"/>
                <w:i w:val="0"/>
                <w:sz w:val="18"/>
              </w:rPr>
              <w:t>Negative</w:t>
            </w:r>
          </w:p>
        </w:tc>
        <w:tc>
          <w:tcPr>
            <w:tcW w:type="dxa" w:w="3600"/>
            <w:shd w:val="clear" w:fill="FAFAFA"/>
          </w:tcPr>
          <w:p>
            <w:r/>
            <w:r>
              <w:rPr>
                <w:rFonts w:ascii="Arial" w:hAnsi="Arial"/>
                <w:b w:val="0"/>
                <w:i w:val="0"/>
                <w:sz w:val="18"/>
              </w:rPr>
              <w:t>Margin + share pressure point</w:t>
            </w:r>
          </w:p>
        </w:tc>
      </w:tr>
      <w:tr>
        <w:tc>
          <w:tcPr>
            <w:tcW w:type="dxa" w:w="4400"/>
            <w:shd w:val="clear" w:fill="F2F2F2"/>
          </w:tcPr>
          <w:p>
            <w:r/>
            <w:r>
              <w:rPr>
                <w:rFonts w:ascii="Arial" w:hAnsi="Arial"/>
                <w:b/>
                <w:i w:val="0"/>
                <w:sz w:val="18"/>
              </w:rPr>
              <w:t>'geopolitical conflict will adversely affect SA's macro outlook' (forecast assumption)</w:t>
            </w:r>
          </w:p>
        </w:tc>
        <w:tc>
          <w:tcPr>
            <w:tcW w:type="dxa" w:w="1360"/>
          </w:tcPr>
          <w:p>
            <w:r/>
            <w:r>
              <w:rPr>
                <w:rFonts w:ascii="Arial" w:hAnsi="Arial"/>
                <w:b w:val="0"/>
                <w:i w:val="0"/>
                <w:sz w:val="18"/>
              </w:rPr>
              <w:t>Negative</w:t>
            </w:r>
          </w:p>
        </w:tc>
        <w:tc>
          <w:tcPr>
            <w:tcW w:type="dxa" w:w="3600"/>
          </w:tcPr>
          <w:p>
            <w:r/>
            <w:r>
              <w:rPr>
                <w:rFonts w:ascii="Arial" w:hAnsi="Arial"/>
                <w:b w:val="0"/>
                <w:i w:val="0"/>
                <w:sz w:val="18"/>
              </w:rPr>
              <w:t>Caps the upside scenario</w:t>
            </w:r>
          </w:p>
        </w:tc>
      </w:tr>
      <w:tr>
        <w:tc>
          <w:tcPr>
            <w:tcW w:type="dxa" w:w="4400"/>
            <w:shd w:val="clear" w:fill="F2F2F2"/>
          </w:tcPr>
          <w:p>
            <w:r/>
            <w:r>
              <w:rPr>
                <w:rFonts w:ascii="Arial" w:hAnsi="Arial"/>
                <w:b/>
                <w:i w:val="0"/>
                <w:sz w:val="18"/>
              </w:rPr>
              <w:t>Finance Ghost: guidance 'particularly weak'; 'slow growth at a high-20s P/E'; 52-week lows</w:t>
            </w:r>
          </w:p>
        </w:tc>
        <w:tc>
          <w:tcPr>
            <w:tcW w:type="dxa" w:w="1360"/>
            <w:shd w:val="clear" w:fill="FAFAFA"/>
          </w:tcPr>
          <w:p>
            <w:r/>
            <w:r>
              <w:rPr>
                <w:rFonts w:ascii="Arial" w:hAnsi="Arial"/>
                <w:b w:val="0"/>
                <w:i w:val="0"/>
                <w:sz w:val="18"/>
              </w:rPr>
              <w:t>Negative</w:t>
            </w:r>
          </w:p>
        </w:tc>
        <w:tc>
          <w:tcPr>
            <w:tcW w:type="dxa" w:w="3600"/>
            <w:shd w:val="clear" w:fill="FAFAFA"/>
          </w:tcPr>
          <w:p>
            <w:r/>
            <w:r>
              <w:rPr>
                <w:rFonts w:ascii="Arial" w:hAnsi="Arial"/>
                <w:b w:val="0"/>
                <w:i w:val="0"/>
                <w:sz w:val="18"/>
              </w:rPr>
              <w:t>Rating DE-RATING risk (not earnings)</w:t>
            </w:r>
          </w:p>
        </w:tc>
      </w:tr>
      <w:tr>
        <w:tc>
          <w:tcPr>
            <w:tcW w:type="dxa" w:w="4400"/>
            <w:shd w:val="clear" w:fill="F2F2F2"/>
          </w:tcPr>
          <w:p>
            <w:r/>
            <w:r>
              <w:rPr>
                <w:rFonts w:ascii="Arial" w:hAnsi="Arial"/>
                <w:b/>
                <w:i w:val="0"/>
                <w:sz w:val="18"/>
              </w:rPr>
              <w:t>Finance Ghost: Dis-Chem 'hungry for market share'; 'Shoprite vs Pick n Pay?' analogy</w:t>
            </w:r>
          </w:p>
        </w:tc>
        <w:tc>
          <w:tcPr>
            <w:tcW w:type="dxa" w:w="1360"/>
          </w:tcPr>
          <w:p>
            <w:r/>
            <w:r>
              <w:rPr>
                <w:rFonts w:ascii="Arial" w:hAnsi="Arial"/>
                <w:b w:val="0"/>
                <w:i w:val="0"/>
                <w:sz w:val="18"/>
              </w:rPr>
              <w:t>Negative</w:t>
            </w:r>
          </w:p>
        </w:tc>
        <w:tc>
          <w:tcPr>
            <w:tcW w:type="dxa" w:w="3600"/>
          </w:tcPr>
          <w:p>
            <w:r/>
            <w:r>
              <w:rPr>
                <w:rFonts w:ascii="Arial" w:hAnsi="Arial"/>
                <w:b w:val="0"/>
                <w:i w:val="0"/>
                <w:sz w:val="18"/>
              </w:rPr>
              <w:t>Competitive / share-loss tail risk</w:t>
            </w:r>
          </w:p>
        </w:tc>
      </w:tr>
      <w:tr>
        <w:tc>
          <w:tcPr>
            <w:tcW w:type="dxa" w:w="4400"/>
            <w:shd w:val="clear" w:fill="F2F2F2"/>
          </w:tcPr>
          <w:p>
            <w:r/>
            <w:r>
              <w:rPr>
                <w:rFonts w:ascii="Arial" w:hAnsi="Arial"/>
                <w:b/>
                <w:i w:val="0"/>
                <w:sz w:val="18"/>
              </w:rPr>
              <w:t>Business Day: 'quality, defensive counter'; 'steady execution, continuity'</w:t>
            </w:r>
          </w:p>
        </w:tc>
        <w:tc>
          <w:tcPr>
            <w:tcW w:type="dxa" w:w="1360"/>
            <w:shd w:val="clear" w:fill="FAFAFA"/>
          </w:tcPr>
          <w:p>
            <w:r/>
            <w:r>
              <w:rPr>
                <w:rFonts w:ascii="Arial" w:hAnsi="Arial"/>
                <w:b w:val="0"/>
                <w:i w:val="0"/>
                <w:sz w:val="18"/>
              </w:rPr>
              <w:t>Positive</w:t>
            </w:r>
          </w:p>
        </w:tc>
        <w:tc>
          <w:tcPr>
            <w:tcW w:type="dxa" w:w="3600"/>
            <w:shd w:val="clear" w:fill="FAFAFA"/>
          </w:tcPr>
          <w:p>
            <w:r/>
            <w:r>
              <w:rPr>
                <w:rFonts w:ascii="Arial" w:hAnsi="Arial"/>
                <w:b w:val="0"/>
                <w:i w:val="0"/>
                <w:sz w:val="18"/>
              </w:rPr>
              <w:t>Defensive floor under the rating</w:t>
            </w:r>
          </w:p>
        </w:tc>
      </w:tr>
    </w:tbl>
    <w:p>
      <w:pPr>
        <w:spacing w:after="40" w:before="0"/>
      </w:pPr>
    </w:p>
    <w:p>
      <w:pPr>
        <w:spacing w:after="160" w:before="0"/>
      </w:pPr>
      <w:r>
        <w:rPr>
          <w:rFonts w:ascii="Arial" w:hAnsi="Arial"/>
          <w:b/>
          <w:i w:val="0"/>
          <w:sz w:val="21"/>
        </w:rPr>
        <w:t xml:space="preserve">Net read: </w:t>
      </w:r>
      <w:r>
        <w:rPr>
          <w:rFonts w:ascii="Arial" w:hAnsi="Arial"/>
          <w:b w:val="0"/>
          <w:i w:val="0"/>
          <w:sz w:val="21"/>
        </w:rPr>
        <w:t>the company's OWN disclosures still skew positive on the franchise (share, ROE, private label, store rollout) while flagging a tougher consumer; the EXTERNAL/analyst voice is the bearish one and is aimed at the valuation and the Dis-Chem threat. Translating to the three asks — earnings: improving but decelerating (in-line, slight-upgrade bias); market share: improving in pharmacy; rating: downgrade-biased until growth re-accelerates or the multiple resets.</w:t>
      </w:r>
    </w:p>
    <w:p>
      <w:pPr>
        <w:pStyle w:val="Heading1"/>
      </w:pPr>
      <w:r>
        <w:t>4. Scenario framework — the consumer-cycle drivers</w:t>
      </w:r>
    </w:p>
    <w:p>
      <w:pPr>
        <w:spacing w:after="120" w:before="0"/>
      </w:pPr>
      <w:r>
        <w:rPr>
          <w:rFonts w:ascii="Arial" w:hAnsi="Arial"/>
          <w:b w:val="0"/>
          <w:i w:val="0"/>
          <w:sz w:val="21"/>
        </w:rPr>
        <w:t>Scenarios are framed on the SA consumer cycle and Clicks-specific levers rather than a single macro shock. Driver levels are analyst assumptions (e).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60"/>
            <w:shd w:val="clear" w:fill="1F3864"/>
          </w:tcPr>
          <w:p>
            <w:r/>
            <w:r>
              <w:rPr>
                <w:rFonts w:ascii="Arial" w:hAnsi="Arial"/>
                <w:b/>
                <w:i w:val="0"/>
                <w:color w:val="FFFFFF"/>
                <w:sz w:val="18"/>
              </w:rPr>
              <w:t>Driver</w:t>
            </w:r>
          </w:p>
        </w:tc>
        <w:tc>
          <w:tcPr>
            <w:tcW w:type="dxa" w:w="2200"/>
            <w:shd w:val="clear" w:fill="2E5496"/>
          </w:tcPr>
          <w:p>
            <w:r/>
            <w:r>
              <w:rPr>
                <w:rFonts w:ascii="Arial" w:hAnsi="Arial"/>
                <w:b/>
                <w:i w:val="0"/>
                <w:color w:val="FFFFFF"/>
                <w:sz w:val="18"/>
              </w:rPr>
              <w:t>Bull</w:t>
            </w:r>
          </w:p>
        </w:tc>
        <w:tc>
          <w:tcPr>
            <w:tcW w:type="dxa" w:w="2200"/>
            <w:shd w:val="clear" w:fill="808080"/>
          </w:tcPr>
          <w:p>
            <w:r/>
            <w:r>
              <w:rPr>
                <w:rFonts w:ascii="Arial" w:hAnsi="Arial"/>
                <w:b/>
                <w:i w:val="0"/>
                <w:color w:val="FFFFFF"/>
                <w:sz w:val="18"/>
              </w:rPr>
              <w:t>Neutral</w:t>
            </w:r>
          </w:p>
        </w:tc>
        <w:tc>
          <w:tcPr>
            <w:tcW w:type="dxa" w:w="2200"/>
            <w:shd w:val="clear" w:fill="C00000"/>
          </w:tcPr>
          <w:p>
            <w:r/>
            <w:r>
              <w:rPr>
                <w:rFonts w:ascii="Arial" w:hAnsi="Arial"/>
                <w:b/>
                <w:i w:val="0"/>
                <w:color w:val="FFFFFF"/>
                <w:sz w:val="18"/>
              </w:rPr>
              <w:t>Bear</w:t>
            </w:r>
          </w:p>
        </w:tc>
      </w:tr>
      <w:tr>
        <w:tc>
          <w:tcPr>
            <w:tcW w:type="dxa" w:w="2760"/>
            <w:shd w:val="clear" w:fill="F2F2F2"/>
          </w:tcPr>
          <w:p>
            <w:r/>
            <w:r>
              <w:rPr>
                <w:rFonts w:ascii="Arial" w:hAnsi="Arial"/>
                <w:b/>
                <w:i w:val="0"/>
                <w:sz w:val="18"/>
              </w:rPr>
              <w:t>SA consumer / disposable income</w:t>
            </w:r>
          </w:p>
        </w:tc>
        <w:tc>
          <w:tcPr>
            <w:tcW w:type="dxa" w:w="2200"/>
          </w:tcPr>
          <w:p>
            <w:r/>
            <w:r>
              <w:rPr>
                <w:rFonts w:ascii="Arial" w:hAnsi="Arial"/>
                <w:b w:val="0"/>
                <w:i w:val="0"/>
                <w:sz w:val="18"/>
              </w:rPr>
              <w:t>Rate cuts resume; real wage growth; confidence recovers</w:t>
            </w:r>
          </w:p>
        </w:tc>
        <w:tc>
          <w:tcPr>
            <w:tcW w:type="dxa" w:w="2200"/>
          </w:tcPr>
          <w:p>
            <w:r/>
            <w:r>
              <w:rPr>
                <w:rFonts w:ascii="Arial" w:hAnsi="Arial"/>
                <w:b w:val="0"/>
                <w:i w:val="0"/>
                <w:sz w:val="18"/>
              </w:rPr>
              <w:t>Constrained but stable; low-single-digit real income</w:t>
            </w:r>
          </w:p>
        </w:tc>
        <w:tc>
          <w:tcPr>
            <w:tcW w:type="dxa" w:w="2200"/>
          </w:tcPr>
          <w:p>
            <w:r/>
            <w:r>
              <w:rPr>
                <w:rFonts w:ascii="Arial" w:hAnsi="Arial"/>
                <w:b w:val="0"/>
                <w:i w:val="0"/>
                <w:sz w:val="18"/>
              </w:rPr>
              <w:t>Sticky inflation + fuel; rates stay high; income squeezed</w:t>
            </w:r>
          </w:p>
        </w:tc>
      </w:tr>
      <w:tr>
        <w:tc>
          <w:tcPr>
            <w:tcW w:type="dxa" w:w="2760"/>
            <w:shd w:val="clear" w:fill="F2F2F2"/>
          </w:tcPr>
          <w:p>
            <w:r/>
            <w:r>
              <w:rPr>
                <w:rFonts w:ascii="Arial" w:hAnsi="Arial"/>
                <w:b/>
                <w:i w:val="0"/>
                <w:sz w:val="18"/>
              </w:rPr>
              <w:t>SARB rates / inflation backdrop</w:t>
            </w:r>
          </w:p>
        </w:tc>
        <w:tc>
          <w:tcPr>
            <w:tcW w:type="dxa" w:w="2200"/>
            <w:shd w:val="clear" w:fill="FAFAFA"/>
          </w:tcPr>
          <w:p>
            <w:r/>
            <w:r>
              <w:rPr>
                <w:rFonts w:ascii="Arial" w:hAnsi="Arial"/>
                <w:b w:val="0"/>
                <w:i w:val="0"/>
                <w:sz w:val="18"/>
              </w:rPr>
              <w:t>Easing through 2027; CPI ~3-4%</w:t>
            </w:r>
          </w:p>
        </w:tc>
        <w:tc>
          <w:tcPr>
            <w:tcW w:type="dxa" w:w="2200"/>
            <w:shd w:val="clear" w:fill="FAFAFA"/>
          </w:tcPr>
          <w:p>
            <w:r/>
            <w:r>
              <w:rPr>
                <w:rFonts w:ascii="Arial" w:hAnsi="Arial"/>
                <w:b w:val="0"/>
                <w:i w:val="0"/>
                <w:sz w:val="18"/>
              </w:rPr>
              <w:t>On hold near 7%; CPI ~4%</w:t>
            </w:r>
          </w:p>
        </w:tc>
        <w:tc>
          <w:tcPr>
            <w:tcW w:type="dxa" w:w="2200"/>
            <w:shd w:val="clear" w:fill="FAFAFA"/>
          </w:tcPr>
          <w:p>
            <w:r/>
            <w:r>
              <w:rPr>
                <w:rFonts w:ascii="Arial" w:hAnsi="Arial"/>
                <w:b w:val="0"/>
                <w:i w:val="0"/>
                <w:sz w:val="18"/>
              </w:rPr>
              <w:t>Further hikes/no cuts; CPI 5%+</w:t>
            </w:r>
          </w:p>
        </w:tc>
      </w:tr>
      <w:tr>
        <w:tc>
          <w:tcPr>
            <w:tcW w:type="dxa" w:w="2760"/>
            <w:shd w:val="clear" w:fill="F2F2F2"/>
          </w:tcPr>
          <w:p>
            <w:r/>
            <w:r>
              <w:rPr>
                <w:rFonts w:ascii="Arial" w:hAnsi="Arial"/>
                <w:b/>
                <w:i w:val="0"/>
                <w:sz w:val="18"/>
              </w:rPr>
              <w:t>Selling-price inflation (pricing power)</w:t>
            </w:r>
          </w:p>
        </w:tc>
        <w:tc>
          <w:tcPr>
            <w:tcW w:type="dxa" w:w="2200"/>
          </w:tcPr>
          <w:p>
            <w:r/>
            <w:r>
              <w:rPr>
                <w:rFonts w:ascii="Arial" w:hAnsi="Arial"/>
                <w:b w:val="0"/>
                <w:i w:val="0"/>
                <w:sz w:val="18"/>
              </w:rPr>
              <w:t>3-4% with volume growth</w:t>
            </w:r>
          </w:p>
        </w:tc>
        <w:tc>
          <w:tcPr>
            <w:tcW w:type="dxa" w:w="2200"/>
          </w:tcPr>
          <w:p>
            <w:r/>
            <w:r>
              <w:rPr>
                <w:rFonts w:ascii="Arial" w:hAnsi="Arial"/>
                <w:b w:val="0"/>
                <w:i w:val="0"/>
                <w:sz w:val="18"/>
              </w:rPr>
              <w:t>~2-3% (as H1 FY2026)</w:t>
            </w:r>
          </w:p>
        </w:tc>
        <w:tc>
          <w:tcPr>
            <w:tcW w:type="dxa" w:w="2200"/>
          </w:tcPr>
          <w:p>
            <w:r/>
            <w:r>
              <w:rPr>
                <w:rFonts w:ascii="Arial" w:hAnsi="Arial"/>
                <w:b w:val="0"/>
                <w:i w:val="0"/>
                <w:sz w:val="18"/>
              </w:rPr>
              <w:t>&lt;2%, volumes soft</w:t>
            </w:r>
          </w:p>
        </w:tc>
      </w:tr>
      <w:tr>
        <w:tc>
          <w:tcPr>
            <w:tcW w:type="dxa" w:w="2760"/>
            <w:shd w:val="clear" w:fill="F2F2F2"/>
          </w:tcPr>
          <w:p>
            <w:r/>
            <w:r>
              <w:rPr>
                <w:rFonts w:ascii="Arial" w:hAnsi="Arial"/>
                <w:b/>
                <w:i w:val="0"/>
                <w:sz w:val="18"/>
              </w:rPr>
              <w:t>WMS / supply-chain execution</w:t>
            </w:r>
          </w:p>
        </w:tc>
        <w:tc>
          <w:tcPr>
            <w:tcW w:type="dxa" w:w="2200"/>
            <w:shd w:val="clear" w:fill="FAFAFA"/>
          </w:tcPr>
          <w:p>
            <w:r/>
            <w:r>
              <w:rPr>
                <w:rFonts w:ascii="Arial" w:hAnsi="Arial"/>
                <w:b w:val="0"/>
                <w:i w:val="0"/>
                <w:sz w:val="18"/>
              </w:rPr>
              <w:t>Fully bedded; availability normalised early</w:t>
            </w:r>
          </w:p>
        </w:tc>
        <w:tc>
          <w:tcPr>
            <w:tcW w:type="dxa" w:w="2200"/>
            <w:shd w:val="clear" w:fill="FAFAFA"/>
          </w:tcPr>
          <w:p>
            <w:r/>
            <w:r>
              <w:rPr>
                <w:rFonts w:ascii="Arial" w:hAnsi="Arial"/>
                <w:b w:val="0"/>
                <w:i w:val="0"/>
                <w:sz w:val="18"/>
              </w:rPr>
              <w:t>Resolved; modest residual drag</w:t>
            </w:r>
          </w:p>
        </w:tc>
        <w:tc>
          <w:tcPr>
            <w:tcW w:type="dxa" w:w="2200"/>
            <w:shd w:val="clear" w:fill="FAFAFA"/>
          </w:tcPr>
          <w:p>
            <w:r/>
            <w:r>
              <w:rPr>
                <w:rFonts w:ascii="Arial" w:hAnsi="Arial"/>
                <w:b w:val="0"/>
                <w:i w:val="0"/>
                <w:sz w:val="18"/>
              </w:rPr>
              <w:t>Recurring disruption; festive repeat</w:t>
            </w:r>
          </w:p>
        </w:tc>
      </w:tr>
      <w:tr>
        <w:tc>
          <w:tcPr>
            <w:tcW w:type="dxa" w:w="2760"/>
            <w:shd w:val="clear" w:fill="F2F2F2"/>
          </w:tcPr>
          <w:p>
            <w:r/>
            <w:r>
              <w:rPr>
                <w:rFonts w:ascii="Arial" w:hAnsi="Arial"/>
                <w:b/>
                <w:i w:val="0"/>
                <w:sz w:val="18"/>
              </w:rPr>
              <w:t>Competition (Dis-Chem, food/online)</w:t>
            </w:r>
          </w:p>
        </w:tc>
        <w:tc>
          <w:tcPr>
            <w:tcW w:type="dxa" w:w="2200"/>
          </w:tcPr>
          <w:p>
            <w:r/>
            <w:r>
              <w:rPr>
                <w:rFonts w:ascii="Arial" w:hAnsi="Arial"/>
                <w:b w:val="0"/>
                <w:i w:val="0"/>
                <w:sz w:val="18"/>
              </w:rPr>
              <w:t>Clicks holds discounting discipline; gains share</w:t>
            </w:r>
          </w:p>
        </w:tc>
        <w:tc>
          <w:tcPr>
            <w:tcW w:type="dxa" w:w="2200"/>
          </w:tcPr>
          <w:p>
            <w:r/>
            <w:r>
              <w:rPr>
                <w:rFonts w:ascii="Arial" w:hAnsi="Arial"/>
                <w:b w:val="0"/>
                <w:i w:val="0"/>
                <w:sz w:val="18"/>
              </w:rPr>
              <w:t>Share held; rational pricing</w:t>
            </w:r>
          </w:p>
        </w:tc>
        <w:tc>
          <w:tcPr>
            <w:tcW w:type="dxa" w:w="2200"/>
          </w:tcPr>
          <w:p>
            <w:r/>
            <w:r>
              <w:rPr>
                <w:rFonts w:ascii="Arial" w:hAnsi="Arial"/>
                <w:b w:val="0"/>
                <w:i w:val="0"/>
                <w:sz w:val="18"/>
              </w:rPr>
              <w:t>Price war; Dis-Chem takes pharmacy share</w:t>
            </w:r>
          </w:p>
        </w:tc>
      </w:tr>
      <w:tr>
        <w:tc>
          <w:tcPr>
            <w:tcW w:type="dxa" w:w="2760"/>
            <w:shd w:val="clear" w:fill="F2F2F2"/>
          </w:tcPr>
          <w:p>
            <w:r/>
            <w:r>
              <w:rPr>
                <w:rFonts w:ascii="Arial" w:hAnsi="Arial"/>
                <w:b/>
                <w:i w:val="0"/>
                <w:sz w:val="18"/>
              </w:rPr>
              <w:t>Private label / margin mix</w:t>
            </w:r>
          </w:p>
        </w:tc>
        <w:tc>
          <w:tcPr>
            <w:tcW w:type="dxa" w:w="2200"/>
            <w:shd w:val="clear" w:fill="FAFAFA"/>
          </w:tcPr>
          <w:p>
            <w:r/>
            <w:r>
              <w:rPr>
                <w:rFonts w:ascii="Arial" w:hAnsi="Arial"/>
                <w:b w:val="0"/>
                <w:i w:val="0"/>
                <w:sz w:val="18"/>
              </w:rPr>
              <w:t>35% front-shop target on track; mix lifts margin</w:t>
            </w:r>
          </w:p>
        </w:tc>
        <w:tc>
          <w:tcPr>
            <w:tcW w:type="dxa" w:w="2200"/>
            <w:shd w:val="clear" w:fill="FAFAFA"/>
          </w:tcPr>
          <w:p>
            <w:r/>
            <w:r>
              <w:rPr>
                <w:rFonts w:ascii="Arial" w:hAnsi="Arial"/>
                <w:b w:val="0"/>
                <w:i w:val="0"/>
                <w:sz w:val="18"/>
              </w:rPr>
              <w:t>Steady mix gains</w:t>
            </w:r>
          </w:p>
        </w:tc>
        <w:tc>
          <w:tcPr>
            <w:tcW w:type="dxa" w:w="2200"/>
            <w:shd w:val="clear" w:fill="FAFAFA"/>
          </w:tcPr>
          <w:p>
            <w:r/>
            <w:r>
              <w:rPr>
                <w:rFonts w:ascii="Arial" w:hAnsi="Arial"/>
                <w:b w:val="0"/>
                <w:i w:val="0"/>
                <w:sz w:val="18"/>
              </w:rPr>
              <w:t>Promotions dilute mix; margin pressure</w:t>
            </w:r>
          </w:p>
        </w:tc>
      </w:tr>
      <w:tr>
        <w:tc>
          <w:tcPr>
            <w:tcW w:type="dxa" w:w="2760"/>
            <w:shd w:val="clear" w:fill="F2F2F2"/>
          </w:tcPr>
          <w:p>
            <w:r/>
            <w:r>
              <w:rPr>
                <w:rFonts w:ascii="Arial" w:hAnsi="Arial"/>
                <w:b/>
                <w:i w:val="0"/>
                <w:sz w:val="18"/>
              </w:rPr>
              <w:t>Store rollout toward 1,200</w:t>
            </w:r>
          </w:p>
        </w:tc>
        <w:tc>
          <w:tcPr>
            <w:tcW w:type="dxa" w:w="2200"/>
          </w:tcPr>
          <w:p>
            <w:r/>
            <w:r>
              <w:rPr>
                <w:rFonts w:ascii="Arial" w:hAnsi="Arial"/>
                <w:b w:val="0"/>
                <w:i w:val="0"/>
                <w:sz w:val="18"/>
              </w:rPr>
              <w:t>Upper end (50 stores + 50 pharmacies/yr)</w:t>
            </w:r>
          </w:p>
        </w:tc>
        <w:tc>
          <w:tcPr>
            <w:tcW w:type="dxa" w:w="2200"/>
          </w:tcPr>
          <w:p>
            <w:r/>
            <w:r>
              <w:rPr>
                <w:rFonts w:ascii="Arial" w:hAnsi="Arial"/>
                <w:b w:val="0"/>
                <w:i w:val="0"/>
                <w:sz w:val="18"/>
              </w:rPr>
              <w:t>40-50 stores + 40-50 pharmacies/yr</w:t>
            </w:r>
          </w:p>
        </w:tc>
        <w:tc>
          <w:tcPr>
            <w:tcW w:type="dxa" w:w="2200"/>
          </w:tcPr>
          <w:p>
            <w:r/>
            <w:r>
              <w:rPr>
                <w:rFonts w:ascii="Arial" w:hAnsi="Arial"/>
                <w:b w:val="0"/>
                <w:i w:val="0"/>
                <w:sz w:val="18"/>
              </w:rPr>
              <w:t>Slowed openings; capex trimmed</w:t>
            </w:r>
          </w:p>
        </w:tc>
      </w:tr>
    </w:tbl>
    <w:p>
      <w:pPr>
        <w:spacing w:after="40" w:before="0"/>
      </w:pPr>
    </w:p>
    <w:p>
      <w:pPr>
        <w:pStyle w:val="Heading1"/>
      </w:pPr>
      <w:r>
        <w:t>5. Projections — FY2026E and FY2027E by scenario</w:t>
      </w:r>
    </w:p>
    <w:p>
      <w:pPr>
        <w:spacing w:after="160" w:before="0"/>
      </w:pPr>
      <w:r>
        <w:rPr>
          <w:rFonts w:ascii="Arial" w:hAnsi="Arial"/>
          <w:b w:val="0"/>
          <w:i w:val="0"/>
          <w:sz w:val="21"/>
        </w:rPr>
        <w:t xml:space="preserve">All forward figures are analyst estimates </w:t>
      </w:r>
      <w:r>
        <w:rPr>
          <w:rFonts w:ascii="Arial" w:hAnsi="Arial"/>
          <w:b/>
          <w:i w:val="0"/>
          <w:sz w:val="21"/>
        </w:rPr>
        <w:t>(e)</w:t>
      </w:r>
      <w:r>
        <w:rPr>
          <w:rFonts w:ascii="Arial" w:hAnsi="Arial"/>
          <w:b w:val="0"/>
          <w:i w:val="0"/>
          <w:sz w:val="21"/>
        </w:rPr>
        <w:t>, built off the FY2025 sacred anchors. FY2026E sits inside or just around the company's published 4%-9% diluted-HEPS guidance band; FY2027E reflects the wider scenario spread once the WMS one-off washes out.</w:t>
      </w:r>
    </w:p>
    <w:p>
      <w:pPr>
        <w:pStyle w:val="Heading2"/>
      </w:pPr>
      <w:r>
        <w:t>FY2026E (year to 31 August 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000"/>
            <w:shd w:val="clear" w:fill="1F3864"/>
          </w:tcPr>
          <w:p>
            <w:r/>
            <w:r>
              <w:rPr>
                <w:rFonts w:ascii="Arial" w:hAnsi="Arial"/>
                <w:b/>
                <w:i w:val="0"/>
                <w:color w:val="FFFFFF"/>
                <w:sz w:val="18"/>
              </w:rPr>
              <w:t>Metric</w:t>
            </w:r>
          </w:p>
        </w:tc>
        <w:tc>
          <w:tcPr>
            <w:tcW w:type="dxa" w:w="1600"/>
            <w:shd w:val="clear" w:fill="808080"/>
          </w:tcPr>
          <w:p>
            <w:r/>
            <w:r>
              <w:rPr>
                <w:rFonts w:ascii="Arial" w:hAnsi="Arial"/>
                <w:b/>
                <w:i w:val="0"/>
                <w:color w:val="FFFFFF"/>
                <w:sz w:val="18"/>
              </w:rPr>
              <w:t>FY2025A</w:t>
            </w:r>
          </w:p>
        </w:tc>
        <w:tc>
          <w:tcPr>
            <w:tcW w:type="dxa" w:w="1560"/>
            <w:shd w:val="clear" w:fill="2E5496"/>
          </w:tcPr>
          <w:p>
            <w:r/>
            <w:r>
              <w:rPr>
                <w:rFonts w:ascii="Arial" w:hAnsi="Arial"/>
                <w:b/>
                <w:i w:val="0"/>
                <w:color w:val="FFFFFF"/>
                <w:sz w:val="18"/>
              </w:rPr>
              <w:t>Bull (e)</w:t>
            </w:r>
          </w:p>
        </w:tc>
        <w:tc>
          <w:tcPr>
            <w:tcW w:type="dxa" w:w="1600"/>
            <w:shd w:val="clear" w:fill="808080"/>
          </w:tcPr>
          <w:p>
            <w:r/>
            <w:r>
              <w:rPr>
                <w:rFonts w:ascii="Arial" w:hAnsi="Arial"/>
                <w:b/>
                <w:i w:val="0"/>
                <w:color w:val="FFFFFF"/>
                <w:sz w:val="18"/>
              </w:rPr>
              <w:t>Neutral (e)</w:t>
            </w:r>
          </w:p>
        </w:tc>
        <w:tc>
          <w:tcPr>
            <w:tcW w:type="dxa" w:w="1600"/>
            <w:shd w:val="clear" w:fill="C00000"/>
          </w:tcPr>
          <w:p>
            <w:r/>
            <w:r>
              <w:rPr>
                <w:rFonts w:ascii="Arial" w:hAnsi="Arial"/>
                <w:b/>
                <w:i w:val="0"/>
                <w:color w:val="FFFFFF"/>
                <w:sz w:val="18"/>
              </w:rPr>
              <w:t>Bear (e)</w:t>
            </w:r>
          </w:p>
        </w:tc>
      </w:tr>
      <w:tr>
        <w:tc>
          <w:tcPr>
            <w:tcW w:type="dxa" w:w="3000"/>
            <w:shd w:val="clear" w:fill="F2F2F2"/>
          </w:tcPr>
          <w:p>
            <w:r/>
            <w:r>
              <w:rPr>
                <w:rFonts w:ascii="Arial" w:hAnsi="Arial"/>
                <w:b/>
                <w:i w:val="0"/>
                <w:sz w:val="18"/>
              </w:rPr>
              <w:t>Group turnover (R'm)</w:t>
            </w:r>
          </w:p>
        </w:tc>
        <w:tc>
          <w:tcPr>
            <w:tcW w:type="dxa" w:w="1600"/>
          </w:tcPr>
          <w:p>
            <w:r/>
            <w:r>
              <w:rPr>
                <w:rFonts w:ascii="Arial" w:hAnsi="Arial"/>
                <w:b w:val="0"/>
                <w:i w:val="0"/>
                <w:sz w:val="18"/>
              </w:rPr>
              <w:t>47,828.1</w:t>
            </w:r>
          </w:p>
        </w:tc>
        <w:tc>
          <w:tcPr>
            <w:tcW w:type="dxa" w:w="1560"/>
          </w:tcPr>
          <w:p>
            <w:r/>
            <w:r>
              <w:rPr>
                <w:rFonts w:ascii="Arial" w:hAnsi="Arial"/>
                <w:b w:val="0"/>
                <w:i w:val="0"/>
                <w:sz w:val="18"/>
              </w:rPr>
              <w:t>51,654</w:t>
            </w:r>
          </w:p>
        </w:tc>
        <w:tc>
          <w:tcPr>
            <w:tcW w:type="dxa" w:w="1600"/>
          </w:tcPr>
          <w:p>
            <w:r/>
            <w:r>
              <w:rPr>
                <w:rFonts w:ascii="Arial" w:hAnsi="Arial"/>
                <w:b w:val="0"/>
                <w:i w:val="0"/>
                <w:sz w:val="18"/>
              </w:rPr>
              <w:t>50,937</w:t>
            </w:r>
          </w:p>
        </w:tc>
        <w:tc>
          <w:tcPr>
            <w:tcW w:type="dxa" w:w="1600"/>
          </w:tcPr>
          <w:p>
            <w:r/>
            <w:r>
              <w:rPr>
                <w:rFonts w:ascii="Arial" w:hAnsi="Arial"/>
                <w:b w:val="0"/>
                <w:i w:val="0"/>
                <w:sz w:val="18"/>
              </w:rPr>
              <w:t>50,219</w:t>
            </w:r>
          </w:p>
        </w:tc>
      </w:tr>
      <w:tr>
        <w:tc>
          <w:tcPr>
            <w:tcW w:type="dxa" w:w="3000"/>
            <w:shd w:val="clear" w:fill="F2F2F2"/>
          </w:tcPr>
          <w:p>
            <w:r/>
            <w:r>
              <w:rPr>
                <w:rFonts w:ascii="Arial" w:hAnsi="Arial"/>
                <w:b/>
                <w:i w:val="0"/>
                <w:sz w:val="18"/>
              </w:rPr>
              <w:t>Turnover growth</w:t>
            </w:r>
          </w:p>
        </w:tc>
        <w:tc>
          <w:tcPr>
            <w:tcW w:type="dxa" w:w="1600"/>
            <w:shd w:val="clear" w:fill="FAFAFA"/>
          </w:tcPr>
          <w:p>
            <w:r/>
            <w:r>
              <w:rPr>
                <w:rFonts w:ascii="Arial" w:hAnsi="Arial"/>
                <w:b w:val="0"/>
                <w:i w:val="0"/>
                <w:sz w:val="18"/>
              </w:rPr>
              <w:t>5.3%</w:t>
            </w:r>
          </w:p>
        </w:tc>
        <w:tc>
          <w:tcPr>
            <w:tcW w:type="dxa" w:w="1560"/>
            <w:shd w:val="clear" w:fill="FAFAFA"/>
          </w:tcPr>
          <w:p>
            <w:r/>
            <w:r>
              <w:rPr>
                <w:rFonts w:ascii="Arial" w:hAnsi="Arial"/>
                <w:b w:val="0"/>
                <w:i w:val="0"/>
                <w:sz w:val="18"/>
              </w:rPr>
              <w:t>+8.0%</w:t>
            </w:r>
          </w:p>
        </w:tc>
        <w:tc>
          <w:tcPr>
            <w:tcW w:type="dxa" w:w="1600"/>
            <w:shd w:val="clear" w:fill="FAFAFA"/>
          </w:tcPr>
          <w:p>
            <w:r/>
            <w:r>
              <w:rPr>
                <w:rFonts w:ascii="Arial" w:hAnsi="Arial"/>
                <w:b w:val="0"/>
                <w:i w:val="0"/>
                <w:sz w:val="18"/>
              </w:rPr>
              <w:t>+6.5%</w:t>
            </w:r>
          </w:p>
        </w:tc>
        <w:tc>
          <w:tcPr>
            <w:tcW w:type="dxa" w:w="1600"/>
            <w:shd w:val="clear" w:fill="FAFAFA"/>
          </w:tcPr>
          <w:p>
            <w:r/>
            <w:r>
              <w:rPr>
                <w:rFonts w:ascii="Arial" w:hAnsi="Arial"/>
                <w:b w:val="0"/>
                <w:i w:val="0"/>
                <w:sz w:val="18"/>
              </w:rPr>
              <w:t>+5.0%</w:t>
            </w:r>
          </w:p>
        </w:tc>
      </w:tr>
      <w:tr>
        <w:tc>
          <w:tcPr>
            <w:tcW w:type="dxa" w:w="3000"/>
            <w:shd w:val="clear" w:fill="F2F2F2"/>
          </w:tcPr>
          <w:p>
            <w:r/>
            <w:r>
              <w:rPr>
                <w:rFonts w:ascii="Arial" w:hAnsi="Arial"/>
                <w:b/>
                <w:i w:val="0"/>
                <w:sz w:val="18"/>
              </w:rPr>
              <w:t>Trading margin</w:t>
            </w:r>
          </w:p>
        </w:tc>
        <w:tc>
          <w:tcPr>
            <w:tcW w:type="dxa" w:w="1600"/>
          </w:tcPr>
          <w:p>
            <w:r/>
            <w:r>
              <w:rPr>
                <w:rFonts w:ascii="Arial" w:hAnsi="Arial"/>
                <w:b w:val="0"/>
                <w:i w:val="0"/>
                <w:sz w:val="18"/>
              </w:rPr>
              <w:t>9.8%</w:t>
            </w:r>
          </w:p>
        </w:tc>
        <w:tc>
          <w:tcPr>
            <w:tcW w:type="dxa" w:w="1560"/>
          </w:tcPr>
          <w:p>
            <w:r/>
            <w:r>
              <w:rPr>
                <w:rFonts w:ascii="Arial" w:hAnsi="Arial"/>
                <w:b w:val="0"/>
                <w:i w:val="0"/>
                <w:sz w:val="18"/>
              </w:rPr>
              <w:t>9.9%</w:t>
            </w:r>
          </w:p>
        </w:tc>
        <w:tc>
          <w:tcPr>
            <w:tcW w:type="dxa" w:w="1600"/>
          </w:tcPr>
          <w:p>
            <w:r/>
            <w:r>
              <w:rPr>
                <w:rFonts w:ascii="Arial" w:hAnsi="Arial"/>
                <w:b w:val="0"/>
                <w:i w:val="0"/>
                <w:sz w:val="18"/>
              </w:rPr>
              <w:t>9.7%</w:t>
            </w:r>
          </w:p>
        </w:tc>
        <w:tc>
          <w:tcPr>
            <w:tcW w:type="dxa" w:w="1600"/>
          </w:tcPr>
          <w:p>
            <w:r/>
            <w:r>
              <w:rPr>
                <w:rFonts w:ascii="Arial" w:hAnsi="Arial"/>
                <w:b w:val="0"/>
                <w:i w:val="0"/>
                <w:sz w:val="18"/>
              </w:rPr>
              <w:t>9.4%</w:t>
            </w:r>
          </w:p>
        </w:tc>
      </w:tr>
      <w:tr>
        <w:tc>
          <w:tcPr>
            <w:tcW w:type="dxa" w:w="3000"/>
            <w:shd w:val="clear" w:fill="F2F2F2"/>
          </w:tcPr>
          <w:p>
            <w:r/>
            <w:r>
              <w:rPr>
                <w:rFonts w:ascii="Arial" w:hAnsi="Arial"/>
                <w:b/>
                <w:i w:val="0"/>
                <w:sz w:val="18"/>
              </w:rPr>
              <w:t>Diluted HEPS (cents)</w:t>
            </w:r>
          </w:p>
        </w:tc>
        <w:tc>
          <w:tcPr>
            <w:tcW w:type="dxa" w:w="1600"/>
            <w:shd w:val="clear" w:fill="FAFAFA"/>
          </w:tcPr>
          <w:p>
            <w:r/>
            <w:r>
              <w:rPr>
                <w:rFonts w:ascii="Arial" w:hAnsi="Arial"/>
                <w:b w:val="0"/>
                <w:i w:val="0"/>
                <w:sz w:val="18"/>
              </w:rPr>
              <w:t>1,361.7</w:t>
            </w:r>
          </w:p>
        </w:tc>
        <w:tc>
          <w:tcPr>
            <w:tcW w:type="dxa" w:w="1560"/>
            <w:shd w:val="clear" w:fill="FAFAFA"/>
          </w:tcPr>
          <w:p>
            <w:r/>
            <w:r>
              <w:rPr>
                <w:rFonts w:ascii="Arial" w:hAnsi="Arial"/>
                <w:b w:val="0"/>
                <w:i w:val="0"/>
                <w:sz w:val="18"/>
              </w:rPr>
              <w:t>1,484</w:t>
            </w:r>
          </w:p>
        </w:tc>
        <w:tc>
          <w:tcPr>
            <w:tcW w:type="dxa" w:w="1600"/>
            <w:shd w:val="clear" w:fill="FAFAFA"/>
          </w:tcPr>
          <w:p>
            <w:r/>
            <w:r>
              <w:rPr>
                <w:rFonts w:ascii="Arial" w:hAnsi="Arial"/>
                <w:b w:val="0"/>
                <w:i w:val="0"/>
                <w:sz w:val="18"/>
              </w:rPr>
              <w:t>1,450</w:t>
            </w:r>
          </w:p>
        </w:tc>
        <w:tc>
          <w:tcPr>
            <w:tcW w:type="dxa" w:w="1600"/>
            <w:shd w:val="clear" w:fill="FAFAFA"/>
          </w:tcPr>
          <w:p>
            <w:r/>
            <w:r>
              <w:rPr>
                <w:rFonts w:ascii="Arial" w:hAnsi="Arial"/>
                <w:b w:val="0"/>
                <w:i w:val="0"/>
                <w:sz w:val="18"/>
              </w:rPr>
              <w:t>1,416</w:t>
            </w:r>
          </w:p>
        </w:tc>
      </w:tr>
      <w:tr>
        <w:tc>
          <w:tcPr>
            <w:tcW w:type="dxa" w:w="3000"/>
            <w:shd w:val="clear" w:fill="F2F2F2"/>
          </w:tcPr>
          <w:p>
            <w:r/>
            <w:r>
              <w:rPr>
                <w:rFonts w:ascii="Arial" w:hAnsi="Arial"/>
                <w:b/>
                <w:i w:val="0"/>
                <w:sz w:val="18"/>
              </w:rPr>
              <w:t>HEPS growth vs FY2025</w:t>
            </w:r>
          </w:p>
        </w:tc>
        <w:tc>
          <w:tcPr>
            <w:tcW w:type="dxa" w:w="1600"/>
          </w:tcPr>
          <w:p>
            <w:r/>
            <w:r>
              <w:rPr>
                <w:rFonts w:ascii="Arial" w:hAnsi="Arial"/>
                <w:b w:val="0"/>
                <w:i w:val="0"/>
                <w:sz w:val="18"/>
              </w:rPr>
              <w:t>14.1%</w:t>
            </w:r>
          </w:p>
        </w:tc>
        <w:tc>
          <w:tcPr>
            <w:tcW w:type="dxa" w:w="1560"/>
          </w:tcPr>
          <w:p>
            <w:r/>
            <w:r>
              <w:rPr>
                <w:rFonts w:ascii="Arial" w:hAnsi="Arial"/>
                <w:b w:val="0"/>
                <w:i w:val="0"/>
                <w:sz w:val="18"/>
              </w:rPr>
              <w:t>+9.0%</w:t>
            </w:r>
          </w:p>
        </w:tc>
        <w:tc>
          <w:tcPr>
            <w:tcW w:type="dxa" w:w="1600"/>
          </w:tcPr>
          <w:p>
            <w:r/>
            <w:r>
              <w:rPr>
                <w:rFonts w:ascii="Arial" w:hAnsi="Arial"/>
                <w:b w:val="0"/>
                <w:i w:val="0"/>
                <w:sz w:val="18"/>
              </w:rPr>
              <w:t>+6.5%</w:t>
            </w:r>
          </w:p>
        </w:tc>
        <w:tc>
          <w:tcPr>
            <w:tcW w:type="dxa" w:w="1600"/>
          </w:tcPr>
          <w:p>
            <w:r/>
            <w:r>
              <w:rPr>
                <w:rFonts w:ascii="Arial" w:hAnsi="Arial"/>
                <w:b w:val="0"/>
                <w:i w:val="0"/>
                <w:sz w:val="18"/>
              </w:rPr>
              <w:t>+4.0%</w:t>
            </w:r>
          </w:p>
        </w:tc>
      </w:tr>
      <w:tr>
        <w:tc>
          <w:tcPr>
            <w:tcW w:type="dxa" w:w="3000"/>
            <w:shd w:val="clear" w:fill="F2F2F2"/>
          </w:tcPr>
          <w:p>
            <w:r/>
            <w:r>
              <w:rPr>
                <w:rFonts w:ascii="Arial" w:hAnsi="Arial"/>
                <w:b/>
                <w:i w:val="0"/>
                <w:sz w:val="18"/>
              </w:rPr>
              <w:t>Dividend per share (cents)</w:t>
            </w:r>
          </w:p>
        </w:tc>
        <w:tc>
          <w:tcPr>
            <w:tcW w:type="dxa" w:w="1600"/>
            <w:shd w:val="clear" w:fill="FAFAFA"/>
          </w:tcPr>
          <w:p>
            <w:r/>
            <w:r>
              <w:rPr>
                <w:rFonts w:ascii="Arial" w:hAnsi="Arial"/>
                <w:b w:val="0"/>
                <w:i w:val="0"/>
                <w:sz w:val="18"/>
              </w:rPr>
              <w:t>886.0</w:t>
            </w:r>
          </w:p>
        </w:tc>
        <w:tc>
          <w:tcPr>
            <w:tcW w:type="dxa" w:w="1560"/>
            <w:shd w:val="clear" w:fill="FAFAFA"/>
          </w:tcPr>
          <w:p>
            <w:r/>
            <w:r>
              <w:rPr>
                <w:rFonts w:ascii="Arial" w:hAnsi="Arial"/>
                <w:b w:val="0"/>
                <w:i w:val="0"/>
                <w:sz w:val="18"/>
              </w:rPr>
              <w:t>965</w:t>
            </w:r>
          </w:p>
        </w:tc>
        <w:tc>
          <w:tcPr>
            <w:tcW w:type="dxa" w:w="1600"/>
            <w:shd w:val="clear" w:fill="FAFAFA"/>
          </w:tcPr>
          <w:p>
            <w:r/>
            <w:r>
              <w:rPr>
                <w:rFonts w:ascii="Arial" w:hAnsi="Arial"/>
                <w:b w:val="0"/>
                <w:i w:val="0"/>
                <w:sz w:val="18"/>
              </w:rPr>
              <w:t>943</w:t>
            </w:r>
          </w:p>
        </w:tc>
        <w:tc>
          <w:tcPr>
            <w:tcW w:type="dxa" w:w="1600"/>
            <w:shd w:val="clear" w:fill="FAFAFA"/>
          </w:tcPr>
          <w:p>
            <w:r/>
            <w:r>
              <w:rPr>
                <w:rFonts w:ascii="Arial" w:hAnsi="Arial"/>
                <w:b w:val="0"/>
                <w:i w:val="0"/>
                <w:sz w:val="18"/>
              </w:rPr>
              <w:t>920</w:t>
            </w:r>
          </w:p>
        </w:tc>
      </w:tr>
      <w:tr>
        <w:tc>
          <w:tcPr>
            <w:tcW w:type="dxa" w:w="3000"/>
            <w:shd w:val="clear" w:fill="F2F2F2"/>
          </w:tcPr>
          <w:p>
            <w:r/>
            <w:r>
              <w:rPr>
                <w:rFonts w:ascii="Arial" w:hAnsi="Arial"/>
                <w:b/>
                <w:i w:val="0"/>
                <w:sz w:val="18"/>
              </w:rPr>
              <w:t>Retail pharmacy share</w:t>
            </w:r>
          </w:p>
        </w:tc>
        <w:tc>
          <w:tcPr>
            <w:tcW w:type="dxa" w:w="1600"/>
          </w:tcPr>
          <w:p>
            <w:r/>
            <w:r>
              <w:rPr>
                <w:rFonts w:ascii="Arial" w:hAnsi="Arial"/>
                <w:b w:val="0"/>
                <w:i w:val="0"/>
                <w:sz w:val="18"/>
              </w:rPr>
              <w:t>24.9% (H1)</w:t>
            </w:r>
          </w:p>
        </w:tc>
        <w:tc>
          <w:tcPr>
            <w:tcW w:type="dxa" w:w="1560"/>
          </w:tcPr>
          <w:p>
            <w:r/>
            <w:r>
              <w:rPr>
                <w:rFonts w:ascii="Arial" w:hAnsi="Arial"/>
                <w:b w:val="0"/>
                <w:i w:val="0"/>
                <w:sz w:val="18"/>
              </w:rPr>
              <w:t>25.3%</w:t>
            </w:r>
          </w:p>
        </w:tc>
        <w:tc>
          <w:tcPr>
            <w:tcW w:type="dxa" w:w="1600"/>
          </w:tcPr>
          <w:p>
            <w:r/>
            <w:r>
              <w:rPr>
                <w:rFonts w:ascii="Arial" w:hAnsi="Arial"/>
                <w:b w:val="0"/>
                <w:i w:val="0"/>
                <w:sz w:val="18"/>
              </w:rPr>
              <w:t>25.0%</w:t>
            </w:r>
          </w:p>
        </w:tc>
        <w:tc>
          <w:tcPr>
            <w:tcW w:type="dxa" w:w="1600"/>
          </w:tcPr>
          <w:p>
            <w:r/>
            <w:r>
              <w:rPr>
                <w:rFonts w:ascii="Arial" w:hAnsi="Arial"/>
                <w:b w:val="0"/>
                <w:i w:val="0"/>
                <w:sz w:val="18"/>
              </w:rPr>
              <w:t>24.6%</w:t>
            </w:r>
          </w:p>
        </w:tc>
      </w:tr>
    </w:tbl>
    <w:p>
      <w:pPr>
        <w:spacing w:after="40" w:before="0"/>
      </w:pPr>
    </w:p>
    <w:p>
      <w:pPr>
        <w:pStyle w:val="Heading2"/>
      </w:pPr>
      <w:r>
        <w:t>FY2027E (year to 31 August 2027)</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000"/>
            <w:shd w:val="clear" w:fill="1F3864"/>
          </w:tcPr>
          <w:p>
            <w:r/>
            <w:r>
              <w:rPr>
                <w:rFonts w:ascii="Arial" w:hAnsi="Arial"/>
                <w:b/>
                <w:i w:val="0"/>
                <w:color w:val="FFFFFF"/>
                <w:sz w:val="18"/>
              </w:rPr>
              <w:t>Metric</w:t>
            </w:r>
          </w:p>
        </w:tc>
        <w:tc>
          <w:tcPr>
            <w:tcW w:type="dxa" w:w="1760"/>
            <w:shd w:val="clear" w:fill="808080"/>
          </w:tcPr>
          <w:p>
            <w:r/>
            <w:r>
              <w:rPr>
                <w:rFonts w:ascii="Arial" w:hAnsi="Arial"/>
                <w:b/>
                <w:i w:val="0"/>
                <w:color w:val="FFFFFF"/>
                <w:sz w:val="18"/>
              </w:rPr>
              <w:t>FY2026E (Neutral)</w:t>
            </w:r>
          </w:p>
        </w:tc>
        <w:tc>
          <w:tcPr>
            <w:tcW w:type="dxa" w:w="1560"/>
            <w:shd w:val="clear" w:fill="2E5496"/>
          </w:tcPr>
          <w:p>
            <w:r/>
            <w:r>
              <w:rPr>
                <w:rFonts w:ascii="Arial" w:hAnsi="Arial"/>
                <w:b/>
                <w:i w:val="0"/>
                <w:color w:val="FFFFFF"/>
                <w:sz w:val="18"/>
              </w:rPr>
              <w:t>Bull (e)</w:t>
            </w:r>
          </w:p>
        </w:tc>
        <w:tc>
          <w:tcPr>
            <w:tcW w:type="dxa" w:w="1480"/>
            <w:shd w:val="clear" w:fill="808080"/>
          </w:tcPr>
          <w:p>
            <w:r/>
            <w:r>
              <w:rPr>
                <w:rFonts w:ascii="Arial" w:hAnsi="Arial"/>
                <w:b/>
                <w:i w:val="0"/>
                <w:color w:val="FFFFFF"/>
                <w:sz w:val="18"/>
              </w:rPr>
              <w:t>Neutral (e)</w:t>
            </w:r>
          </w:p>
        </w:tc>
        <w:tc>
          <w:tcPr>
            <w:tcW w:type="dxa" w:w="1560"/>
            <w:shd w:val="clear" w:fill="C00000"/>
          </w:tcPr>
          <w:p>
            <w:r/>
            <w:r>
              <w:rPr>
                <w:rFonts w:ascii="Arial" w:hAnsi="Arial"/>
                <w:b/>
                <w:i w:val="0"/>
                <w:color w:val="FFFFFF"/>
                <w:sz w:val="18"/>
              </w:rPr>
              <w:t>Bear (e)</w:t>
            </w:r>
          </w:p>
        </w:tc>
      </w:tr>
      <w:tr>
        <w:tc>
          <w:tcPr>
            <w:tcW w:type="dxa" w:w="3000"/>
            <w:shd w:val="clear" w:fill="F2F2F2"/>
          </w:tcPr>
          <w:p>
            <w:r/>
            <w:r>
              <w:rPr>
                <w:rFonts w:ascii="Arial" w:hAnsi="Arial"/>
                <w:b/>
                <w:i w:val="0"/>
                <w:sz w:val="18"/>
              </w:rPr>
              <w:t>Group turnover (R'm)</w:t>
            </w:r>
          </w:p>
        </w:tc>
        <w:tc>
          <w:tcPr>
            <w:tcW w:type="dxa" w:w="1760"/>
          </w:tcPr>
          <w:p>
            <w:r/>
            <w:r>
              <w:rPr>
                <w:rFonts w:ascii="Arial" w:hAnsi="Arial"/>
                <w:b w:val="0"/>
                <w:i w:val="0"/>
                <w:sz w:val="18"/>
              </w:rPr>
              <w:t>50,937</w:t>
            </w:r>
          </w:p>
        </w:tc>
        <w:tc>
          <w:tcPr>
            <w:tcW w:type="dxa" w:w="1560"/>
          </w:tcPr>
          <w:p>
            <w:r/>
            <w:r>
              <w:rPr>
                <w:rFonts w:ascii="Arial" w:hAnsi="Arial"/>
                <w:b w:val="0"/>
                <w:i w:val="0"/>
                <w:sz w:val="18"/>
              </w:rPr>
              <w:t>56,044</w:t>
            </w:r>
          </w:p>
        </w:tc>
        <w:tc>
          <w:tcPr>
            <w:tcW w:type="dxa" w:w="1480"/>
          </w:tcPr>
          <w:p>
            <w:r/>
            <w:r>
              <w:rPr>
                <w:rFonts w:ascii="Arial" w:hAnsi="Arial"/>
                <w:b w:val="0"/>
                <w:i w:val="0"/>
                <w:sz w:val="18"/>
              </w:rPr>
              <w:t>54,248</w:t>
            </w:r>
          </w:p>
        </w:tc>
        <w:tc>
          <w:tcPr>
            <w:tcW w:type="dxa" w:w="1560"/>
          </w:tcPr>
          <w:p>
            <w:r/>
            <w:r>
              <w:rPr>
                <w:rFonts w:ascii="Arial" w:hAnsi="Arial"/>
                <w:b w:val="0"/>
                <w:i w:val="0"/>
                <w:sz w:val="18"/>
              </w:rPr>
              <w:t>52,228</w:t>
            </w:r>
          </w:p>
        </w:tc>
      </w:tr>
      <w:tr>
        <w:tc>
          <w:tcPr>
            <w:tcW w:type="dxa" w:w="3000"/>
            <w:shd w:val="clear" w:fill="F2F2F2"/>
          </w:tcPr>
          <w:p>
            <w:r/>
            <w:r>
              <w:rPr>
                <w:rFonts w:ascii="Arial" w:hAnsi="Arial"/>
                <w:b/>
                <w:i w:val="0"/>
                <w:sz w:val="18"/>
              </w:rPr>
              <w:t>Turnover growth</w:t>
            </w:r>
          </w:p>
        </w:tc>
        <w:tc>
          <w:tcPr>
            <w:tcW w:type="dxa" w:w="1760"/>
            <w:shd w:val="clear" w:fill="FAFAFA"/>
          </w:tcPr>
          <w:p>
            <w:r/>
            <w:r>
              <w:rPr>
                <w:rFonts w:ascii="Arial" w:hAnsi="Arial"/>
                <w:b w:val="0"/>
                <w:i w:val="0"/>
                <w:sz w:val="18"/>
              </w:rPr>
              <w:t>+6.5%</w:t>
            </w:r>
          </w:p>
        </w:tc>
        <w:tc>
          <w:tcPr>
            <w:tcW w:type="dxa" w:w="1560"/>
            <w:shd w:val="clear" w:fill="FAFAFA"/>
          </w:tcPr>
          <w:p>
            <w:r/>
            <w:r>
              <w:rPr>
                <w:rFonts w:ascii="Arial" w:hAnsi="Arial"/>
                <w:b w:val="0"/>
                <w:i w:val="0"/>
                <w:sz w:val="18"/>
              </w:rPr>
              <w:t>+8.5%</w:t>
            </w:r>
          </w:p>
        </w:tc>
        <w:tc>
          <w:tcPr>
            <w:tcW w:type="dxa" w:w="1480"/>
            <w:shd w:val="clear" w:fill="FAFAFA"/>
          </w:tcPr>
          <w:p>
            <w:r/>
            <w:r>
              <w:rPr>
                <w:rFonts w:ascii="Arial" w:hAnsi="Arial"/>
                <w:b w:val="0"/>
                <w:i w:val="0"/>
                <w:sz w:val="18"/>
              </w:rPr>
              <w:t>+6.5%</w:t>
            </w:r>
          </w:p>
        </w:tc>
        <w:tc>
          <w:tcPr>
            <w:tcW w:type="dxa" w:w="1560"/>
            <w:shd w:val="clear" w:fill="FAFAFA"/>
          </w:tcPr>
          <w:p>
            <w:r/>
            <w:r>
              <w:rPr>
                <w:rFonts w:ascii="Arial" w:hAnsi="Arial"/>
                <w:b w:val="0"/>
                <w:i w:val="0"/>
                <w:sz w:val="18"/>
              </w:rPr>
              <w:t>+4.0%</w:t>
            </w:r>
          </w:p>
        </w:tc>
      </w:tr>
      <w:tr>
        <w:tc>
          <w:tcPr>
            <w:tcW w:type="dxa" w:w="3000"/>
            <w:shd w:val="clear" w:fill="F2F2F2"/>
          </w:tcPr>
          <w:p>
            <w:r/>
            <w:r>
              <w:rPr>
                <w:rFonts w:ascii="Arial" w:hAnsi="Arial"/>
                <w:b/>
                <w:i w:val="0"/>
                <w:sz w:val="18"/>
              </w:rPr>
              <w:t>Trading margin</w:t>
            </w:r>
          </w:p>
        </w:tc>
        <w:tc>
          <w:tcPr>
            <w:tcW w:type="dxa" w:w="1760"/>
          </w:tcPr>
          <w:p>
            <w:r/>
            <w:r>
              <w:rPr>
                <w:rFonts w:ascii="Arial" w:hAnsi="Arial"/>
                <w:b w:val="0"/>
                <w:i w:val="0"/>
                <w:sz w:val="18"/>
              </w:rPr>
              <w:t>9.7%</w:t>
            </w:r>
          </w:p>
        </w:tc>
        <w:tc>
          <w:tcPr>
            <w:tcW w:type="dxa" w:w="1560"/>
          </w:tcPr>
          <w:p>
            <w:r/>
            <w:r>
              <w:rPr>
                <w:rFonts w:ascii="Arial" w:hAnsi="Arial"/>
                <w:b w:val="0"/>
                <w:i w:val="0"/>
                <w:sz w:val="18"/>
              </w:rPr>
              <w:t>10.1%</w:t>
            </w:r>
          </w:p>
        </w:tc>
        <w:tc>
          <w:tcPr>
            <w:tcW w:type="dxa" w:w="1480"/>
          </w:tcPr>
          <w:p>
            <w:r/>
            <w:r>
              <w:rPr>
                <w:rFonts w:ascii="Arial" w:hAnsi="Arial"/>
                <w:b w:val="0"/>
                <w:i w:val="0"/>
                <w:sz w:val="18"/>
              </w:rPr>
              <w:t>9.8%</w:t>
            </w:r>
          </w:p>
        </w:tc>
        <w:tc>
          <w:tcPr>
            <w:tcW w:type="dxa" w:w="1560"/>
          </w:tcPr>
          <w:p>
            <w:r/>
            <w:r>
              <w:rPr>
                <w:rFonts w:ascii="Arial" w:hAnsi="Arial"/>
                <w:b w:val="0"/>
                <w:i w:val="0"/>
                <w:sz w:val="18"/>
              </w:rPr>
              <w:t>9.3%</w:t>
            </w:r>
          </w:p>
        </w:tc>
      </w:tr>
      <w:tr>
        <w:tc>
          <w:tcPr>
            <w:tcW w:type="dxa" w:w="3000"/>
            <w:shd w:val="clear" w:fill="F2F2F2"/>
          </w:tcPr>
          <w:p>
            <w:r/>
            <w:r>
              <w:rPr>
                <w:rFonts w:ascii="Arial" w:hAnsi="Arial"/>
                <w:b/>
                <w:i w:val="0"/>
                <w:sz w:val="18"/>
              </w:rPr>
              <w:t>Diluted HEPS (cents)</w:t>
            </w:r>
          </w:p>
        </w:tc>
        <w:tc>
          <w:tcPr>
            <w:tcW w:type="dxa" w:w="1760"/>
            <w:shd w:val="clear" w:fill="FAFAFA"/>
          </w:tcPr>
          <w:p>
            <w:r/>
            <w:r>
              <w:rPr>
                <w:rFonts w:ascii="Arial" w:hAnsi="Arial"/>
                <w:b w:val="0"/>
                <w:i w:val="0"/>
                <w:sz w:val="18"/>
              </w:rPr>
              <w:t>1,450</w:t>
            </w:r>
          </w:p>
        </w:tc>
        <w:tc>
          <w:tcPr>
            <w:tcW w:type="dxa" w:w="1560"/>
            <w:shd w:val="clear" w:fill="FAFAFA"/>
          </w:tcPr>
          <w:p>
            <w:r/>
            <w:r>
              <w:rPr>
                <w:rFonts w:ascii="Arial" w:hAnsi="Arial"/>
                <w:b w:val="0"/>
                <w:i w:val="0"/>
                <w:sz w:val="18"/>
              </w:rPr>
              <w:t>1,662</w:t>
            </w:r>
          </w:p>
        </w:tc>
        <w:tc>
          <w:tcPr>
            <w:tcW w:type="dxa" w:w="1480"/>
            <w:shd w:val="clear" w:fill="FAFAFA"/>
          </w:tcPr>
          <w:p>
            <w:r/>
            <w:r>
              <w:rPr>
                <w:rFonts w:ascii="Arial" w:hAnsi="Arial"/>
                <w:b w:val="0"/>
                <w:i w:val="0"/>
                <w:sz w:val="18"/>
              </w:rPr>
              <w:t>1,559</w:t>
            </w:r>
          </w:p>
        </w:tc>
        <w:tc>
          <w:tcPr>
            <w:tcW w:type="dxa" w:w="1560"/>
            <w:shd w:val="clear" w:fill="FAFAFA"/>
          </w:tcPr>
          <w:p>
            <w:r/>
            <w:r>
              <w:rPr>
                <w:rFonts w:ascii="Arial" w:hAnsi="Arial"/>
                <w:b w:val="0"/>
                <w:i w:val="0"/>
                <w:sz w:val="18"/>
              </w:rPr>
              <w:t>1,452</w:t>
            </w:r>
          </w:p>
        </w:tc>
      </w:tr>
      <w:tr>
        <w:tc>
          <w:tcPr>
            <w:tcW w:type="dxa" w:w="3000"/>
            <w:shd w:val="clear" w:fill="F2F2F2"/>
          </w:tcPr>
          <w:p>
            <w:r/>
            <w:r>
              <w:rPr>
                <w:rFonts w:ascii="Arial" w:hAnsi="Arial"/>
                <w:b/>
                <w:i w:val="0"/>
                <w:sz w:val="18"/>
              </w:rPr>
              <w:t>HEPS growth vs FY2026E</w:t>
            </w:r>
          </w:p>
        </w:tc>
        <w:tc>
          <w:tcPr>
            <w:tcW w:type="dxa" w:w="1760"/>
          </w:tcPr>
          <w:p>
            <w:r/>
            <w:r>
              <w:rPr>
                <w:rFonts w:ascii="Arial" w:hAnsi="Arial"/>
                <w:b w:val="0"/>
                <w:i w:val="0"/>
                <w:sz w:val="18"/>
              </w:rPr>
              <w:t>—</w:t>
            </w:r>
          </w:p>
        </w:tc>
        <w:tc>
          <w:tcPr>
            <w:tcW w:type="dxa" w:w="1560"/>
          </w:tcPr>
          <w:p>
            <w:r/>
            <w:r>
              <w:rPr>
                <w:rFonts w:ascii="Arial" w:hAnsi="Arial"/>
                <w:b w:val="0"/>
                <w:i w:val="0"/>
                <w:sz w:val="18"/>
              </w:rPr>
              <w:t>+12.0%</w:t>
            </w:r>
          </w:p>
        </w:tc>
        <w:tc>
          <w:tcPr>
            <w:tcW w:type="dxa" w:w="1480"/>
          </w:tcPr>
          <w:p>
            <w:r/>
            <w:r>
              <w:rPr>
                <w:rFonts w:ascii="Arial" w:hAnsi="Arial"/>
                <w:b w:val="0"/>
                <w:i w:val="0"/>
                <w:sz w:val="18"/>
              </w:rPr>
              <w:t>+7.5%</w:t>
            </w:r>
          </w:p>
        </w:tc>
        <w:tc>
          <w:tcPr>
            <w:tcW w:type="dxa" w:w="1560"/>
          </w:tcPr>
          <w:p>
            <w:r/>
            <w:r>
              <w:rPr>
                <w:rFonts w:ascii="Arial" w:hAnsi="Arial"/>
                <w:b w:val="0"/>
                <w:i w:val="0"/>
                <w:sz w:val="18"/>
              </w:rPr>
              <w:t>+2.5%</w:t>
            </w:r>
          </w:p>
        </w:tc>
      </w:tr>
      <w:tr>
        <w:tc>
          <w:tcPr>
            <w:tcW w:type="dxa" w:w="3000"/>
            <w:shd w:val="clear" w:fill="F2F2F2"/>
          </w:tcPr>
          <w:p>
            <w:r/>
            <w:r>
              <w:rPr>
                <w:rFonts w:ascii="Arial" w:hAnsi="Arial"/>
                <w:b/>
                <w:i w:val="0"/>
                <w:sz w:val="18"/>
              </w:rPr>
              <w:t>Dividend per share (cents)</w:t>
            </w:r>
          </w:p>
        </w:tc>
        <w:tc>
          <w:tcPr>
            <w:tcW w:type="dxa" w:w="1760"/>
            <w:shd w:val="clear" w:fill="FAFAFA"/>
          </w:tcPr>
          <w:p>
            <w:r/>
            <w:r>
              <w:rPr>
                <w:rFonts w:ascii="Arial" w:hAnsi="Arial"/>
                <w:b w:val="0"/>
                <w:i w:val="0"/>
                <w:sz w:val="18"/>
              </w:rPr>
              <w:t>943</w:t>
            </w:r>
          </w:p>
        </w:tc>
        <w:tc>
          <w:tcPr>
            <w:tcW w:type="dxa" w:w="1560"/>
            <w:shd w:val="clear" w:fill="FAFAFA"/>
          </w:tcPr>
          <w:p>
            <w:r/>
            <w:r>
              <w:rPr>
                <w:rFonts w:ascii="Arial" w:hAnsi="Arial"/>
                <w:b w:val="0"/>
                <w:i w:val="0"/>
                <w:sz w:val="18"/>
              </w:rPr>
              <w:t>1,081</w:t>
            </w:r>
          </w:p>
        </w:tc>
        <w:tc>
          <w:tcPr>
            <w:tcW w:type="dxa" w:w="1480"/>
            <w:shd w:val="clear" w:fill="FAFAFA"/>
          </w:tcPr>
          <w:p>
            <w:r/>
            <w:r>
              <w:rPr>
                <w:rFonts w:ascii="Arial" w:hAnsi="Arial"/>
                <w:b w:val="0"/>
                <w:i w:val="0"/>
                <w:sz w:val="18"/>
              </w:rPr>
              <w:t>1,013</w:t>
            </w:r>
          </w:p>
        </w:tc>
        <w:tc>
          <w:tcPr>
            <w:tcW w:type="dxa" w:w="1560"/>
            <w:shd w:val="clear" w:fill="FAFAFA"/>
          </w:tcPr>
          <w:p>
            <w:r/>
            <w:r>
              <w:rPr>
                <w:rFonts w:ascii="Arial" w:hAnsi="Arial"/>
                <w:b w:val="0"/>
                <w:i w:val="0"/>
                <w:sz w:val="18"/>
              </w:rPr>
              <w:t>944</w:t>
            </w:r>
          </w:p>
        </w:tc>
      </w:tr>
      <w:tr>
        <w:tc>
          <w:tcPr>
            <w:tcW w:type="dxa" w:w="3000"/>
            <w:shd w:val="clear" w:fill="F2F2F2"/>
          </w:tcPr>
          <w:p>
            <w:r/>
            <w:r>
              <w:rPr>
                <w:rFonts w:ascii="Arial" w:hAnsi="Arial"/>
                <w:b/>
                <w:i w:val="0"/>
                <w:sz w:val="18"/>
              </w:rPr>
              <w:t>Retail pharmacy share</w:t>
            </w:r>
          </w:p>
        </w:tc>
        <w:tc>
          <w:tcPr>
            <w:tcW w:type="dxa" w:w="1760"/>
          </w:tcPr>
          <w:p>
            <w:r/>
            <w:r>
              <w:rPr>
                <w:rFonts w:ascii="Arial" w:hAnsi="Arial"/>
                <w:b w:val="0"/>
                <w:i w:val="0"/>
                <w:sz w:val="18"/>
              </w:rPr>
              <w:t>25.0%</w:t>
            </w:r>
          </w:p>
        </w:tc>
        <w:tc>
          <w:tcPr>
            <w:tcW w:type="dxa" w:w="1560"/>
          </w:tcPr>
          <w:p>
            <w:r/>
            <w:r>
              <w:rPr>
                <w:rFonts w:ascii="Arial" w:hAnsi="Arial"/>
                <w:b w:val="0"/>
                <w:i w:val="0"/>
                <w:sz w:val="18"/>
              </w:rPr>
              <w:t>26.0%</w:t>
            </w:r>
          </w:p>
        </w:tc>
        <w:tc>
          <w:tcPr>
            <w:tcW w:type="dxa" w:w="1480"/>
          </w:tcPr>
          <w:p>
            <w:r/>
            <w:r>
              <w:rPr>
                <w:rFonts w:ascii="Arial" w:hAnsi="Arial"/>
                <w:b w:val="0"/>
                <w:i w:val="0"/>
                <w:sz w:val="18"/>
              </w:rPr>
              <w:t>25.2%</w:t>
            </w:r>
          </w:p>
        </w:tc>
        <w:tc>
          <w:tcPr>
            <w:tcW w:type="dxa" w:w="1560"/>
          </w:tcPr>
          <w:p>
            <w:r/>
            <w:r>
              <w:rPr>
                <w:rFonts w:ascii="Arial" w:hAnsi="Arial"/>
                <w:b w:val="0"/>
                <w:i w:val="0"/>
                <w:sz w:val="18"/>
              </w:rPr>
              <w:t>24.2%</w:t>
            </w:r>
          </w:p>
        </w:tc>
      </w:tr>
    </w:tbl>
    <w:p>
      <w:pPr>
        <w:spacing w:after="40" w:before="0"/>
      </w:pP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Reading the spread.  </w:t>
            </w:r>
            <w:r>
              <w:rPr>
                <w:rFonts w:ascii="Arial" w:hAnsi="Arial"/>
                <w:b w:val="0"/>
                <w:i w:val="0"/>
                <w:sz w:val="21"/>
              </w:rPr>
              <w:t>FY2026 is the comparatively safe year — H1's +8.1% HEPS is already banked, so even the Bear case lands at the +4% guidance floor. The decisive divergence is FY2027: the Bull-to-Bear HEPS gap widens to ~210 cents (1,662 vs 1,452, ~14%), driven almost entirely by whether the consumer recovers and whether Clicks holds pharmacy share against Dis-Chem. That is where the de-rating-or-re-rating debate gets settled.</w:t>
            </w:r>
          </w:p>
        </w:tc>
      </w:tr>
    </w:tbl>
    <w:p>
      <w:pPr>
        <w:spacing w:after="40" w:before="0"/>
      </w:pPr>
    </w:p>
    <w:p>
      <w:pPr>
        <w:pStyle w:val="Heading1"/>
      </w:pPr>
      <w:r>
        <w:t>6. What flips the rating — upgrade vs downgrade triggers</w:t>
      </w:r>
    </w:p>
    <w:p>
      <w:pPr>
        <w:pStyle w:val="ListBullet"/>
        <w:spacing w:after="80"/>
      </w:pPr>
      <w:r>
        <w:rPr>
          <w:rFonts w:ascii="Arial" w:hAnsi="Arial"/>
          <w:b/>
          <w:i w:val="0"/>
          <w:sz w:val="21"/>
        </w:rPr>
        <w:t xml:space="preserve">Upgrade signals: </w:t>
      </w:r>
      <w:r>
        <w:rPr>
          <w:rFonts w:ascii="Arial" w:hAnsi="Arial"/>
          <w:b w:val="0"/>
          <w:i w:val="0"/>
          <w:sz w:val="21"/>
        </w:rPr>
        <w:t>comparable-store growth re-accelerating above ~4%; retail pharmacy share pushing toward 26%; private-label mix tracking the 35% front-shop target; SARB cuts feeding discretionary spend; clean H2 with no WMS repeat at the festive peak.</w:t>
      </w:r>
    </w:p>
    <w:p>
      <w:pPr>
        <w:pStyle w:val="ListBullet"/>
        <w:spacing w:after="80"/>
      </w:pPr>
      <w:r>
        <w:rPr>
          <w:rFonts w:ascii="Arial" w:hAnsi="Arial"/>
          <w:b/>
          <w:i w:val="0"/>
          <w:sz w:val="21"/>
        </w:rPr>
        <w:t xml:space="preserve">Downgrade signals: </w:t>
      </w:r>
      <w:r>
        <w:rPr>
          <w:rFonts w:ascii="Arial" w:hAnsi="Arial"/>
          <w:b w:val="0"/>
          <w:i w:val="0"/>
          <w:sz w:val="21"/>
        </w:rPr>
        <w:t>FY2026 HEPS settling at the 4% floor; Dis-Chem trading updates outpacing Clicks on revenue and share commentary; further festive-season price wars compressing retail margin; comparable growth slipping below selling-price inflation (i.e. negative volumes).</w:t>
      </w:r>
    </w:p>
    <w:p>
      <w:pPr>
        <w:pStyle w:val="ListBullet"/>
        <w:spacing w:after="80"/>
      </w:pPr>
      <w:r>
        <w:rPr>
          <w:rFonts w:ascii="Arial" w:hAnsi="Arial"/>
          <w:b/>
          <w:i w:val="0"/>
          <w:sz w:val="21"/>
        </w:rPr>
        <w:t xml:space="preserve">Watch-the-quality flag: </w:t>
      </w:r>
      <w:r>
        <w:rPr>
          <w:rFonts w:ascii="Arial" w:hAnsi="Arial"/>
          <w:b w:val="0"/>
          <w:i w:val="0"/>
          <w:sz w:val="21"/>
        </w:rPr>
        <w:t>H1 FY2026 headline earnings grew 6.4% but HEPS grew 8.1% — the gap was closed by buybacks. If earnings growth keeps lagging HEPS growth, the 'real' operating improvement is weaker than the headline and supports the bear/de-rating thesis.</w:t>
      </w:r>
    </w:p>
    <w:p>
      <w:pPr>
        <w:pStyle w:val="Heading1"/>
      </w:pPr>
      <w:r>
        <w:t>7. Questions for management</w:t>
      </w:r>
    </w:p>
    <w:p>
      <w:pPr>
        <w:pStyle w:val="ListBullet"/>
        <w:spacing w:after="80"/>
      </w:pPr>
      <w:r>
        <w:rPr>
          <w:rFonts w:ascii="Arial" w:hAnsi="Arial"/>
          <w:b w:val="0"/>
          <w:i w:val="0"/>
          <w:sz w:val="21"/>
        </w:rPr>
        <w:t>Is the ~R175m WMS-related H1 turnover loss fully recovered in H2, or does any availability drag persist into FY2027?</w:t>
      </w:r>
    </w:p>
    <w:p>
      <w:pPr>
        <w:pStyle w:val="ListBullet"/>
        <w:spacing w:after="80"/>
      </w:pPr>
      <w:r>
        <w:rPr>
          <w:rFonts w:ascii="Arial" w:hAnsi="Arial"/>
          <w:b w:val="0"/>
          <w:i w:val="0"/>
          <w:sz w:val="21"/>
        </w:rPr>
        <w:t>What is the realistic glide-path of retail pharmacy share given Dis-Chem's stated push, and at what point would you respond on price?</w:t>
      </w:r>
    </w:p>
    <w:p>
      <w:pPr>
        <w:pStyle w:val="ListBullet"/>
        <w:spacing w:after="80"/>
      </w:pPr>
      <w:r>
        <w:rPr>
          <w:rFonts w:ascii="Arial" w:hAnsi="Arial"/>
          <w:b w:val="0"/>
          <w:i w:val="0"/>
          <w:sz w:val="21"/>
        </w:rPr>
        <w:t>How much of FY2026/27 HEPS growth do you expect to come from buybacks versus operating earnings?</w:t>
      </w:r>
    </w:p>
    <w:p>
      <w:pPr>
        <w:pStyle w:val="ListBullet"/>
        <w:spacing w:after="80"/>
      </w:pPr>
      <w:r>
        <w:rPr>
          <w:rFonts w:ascii="Arial" w:hAnsi="Arial"/>
          <w:b w:val="0"/>
          <w:i w:val="0"/>
          <w:sz w:val="21"/>
        </w:rPr>
        <w:t>Does the 65% payout hold if the Bear consumer case plays out, or is capex (toward the 1,200-store target) the swing factor?</w:t>
      </w:r>
    </w:p>
    <w:p>
      <w:pPr>
        <w:pStyle w:val="ListBullet"/>
        <w:spacing w:after="80"/>
      </w:pPr>
      <w:r>
        <w:rPr>
          <w:rFonts w:ascii="Arial" w:hAnsi="Arial"/>
          <w:b w:val="0"/>
          <w:i w:val="0"/>
          <w:sz w:val="21"/>
        </w:rPr>
        <w:t>What selling-price inflation and volume assumptions underpin the 4%-9% FY2026 guidance band?</w:t>
      </w:r>
    </w:p>
    <w:p>
      <w:pPr>
        <w:pStyle w:val="Heading1"/>
      </w:pPr>
      <w:r>
        <w:t>8. Sources</w:t>
      </w:r>
    </w:p>
    <w:p>
      <w:pPr>
        <w:pStyle w:val="ListBullet"/>
        <w:spacing w:after="80"/>
      </w:pPr>
      <w:r>
        <w:rPr>
          <w:rFonts w:ascii="Arial" w:hAnsi="Arial"/>
          <w:b w:val="0"/>
          <w:i w:val="0"/>
          <w:sz w:val="21"/>
        </w:rPr>
        <w:t xml:space="preserve">Clicks Group — Reviewed condensed results, year ended 31 August 2025 (published 23 Oct 2025). Local file: companies/clicks-group/annual-reports/clicks-annual-results-fy2025-20251023.pdf. </w:t>
      </w:r>
      <w:hyperlink r:id="rId10">
        <w:r>
          <w:rPr>
            <w:rFonts w:ascii="Arial" w:hAnsi="Arial"/>
            <w:color w:val="0563C1"/>
            <w:u w:val="single"/>
            <w:sz w:val="21"/>
          </w:rPr>
          <w:t>FY2025 results announcement</w:t>
        </w:r>
      </w:hyperlink>
    </w:p>
    <w:p>
      <w:pPr>
        <w:pStyle w:val="ListBullet"/>
        <w:spacing w:after="80"/>
      </w:pPr>
      <w:r>
        <w:rPr>
          <w:rFonts w:ascii="Arial" w:hAnsi="Arial"/>
          <w:b w:val="0"/>
          <w:i w:val="0"/>
          <w:sz w:val="21"/>
        </w:rPr>
        <w:t xml:space="preserve">Clicks Group — Unaudited interim results, six months ended 28 February 2026 (published 23 Apr 2026); includes FY2026 diluted-HEPS forecast of +4% to +9%. Local file: companies/clicks-group/interim-reports/clicks-interim-results-h1fy2026-20260423.pdf. </w:t>
      </w:r>
      <w:hyperlink r:id="rId11">
        <w:r>
          <w:rPr>
            <w:rFonts w:ascii="Arial" w:hAnsi="Arial"/>
            <w:color w:val="0563C1"/>
            <w:u w:val="single"/>
            <w:sz w:val="21"/>
          </w:rPr>
          <w:t>H1 FY2026 results announcement</w:t>
        </w:r>
      </w:hyperlink>
    </w:p>
    <w:p>
      <w:pPr>
        <w:pStyle w:val="ListBullet"/>
        <w:spacing w:after="80"/>
      </w:pPr>
      <w:r>
        <w:rPr>
          <w:rFonts w:ascii="Arial" w:hAnsi="Arial"/>
          <w:b w:val="0"/>
          <w:i w:val="0"/>
          <w:sz w:val="21"/>
        </w:rPr>
        <w:t xml:space="preserve">Business Day (Arena Holdings) — 'NEWS ANALYSIS: Clicks stays the course under Bertina Engelbrecht', 10 Feb 2026 (premium). </w:t>
      </w:r>
      <w:hyperlink r:id="rId12">
        <w:r>
          <w:rPr>
            <w:rFonts w:ascii="Arial" w:hAnsi="Arial"/>
            <w:color w:val="0563C1"/>
            <w:u w:val="single"/>
            <w:sz w:val="21"/>
          </w:rPr>
          <w:t>Business Day, 10 Feb 2026</w:t>
        </w:r>
      </w:hyperlink>
    </w:p>
    <w:p>
      <w:pPr>
        <w:pStyle w:val="ListBullet"/>
        <w:spacing w:after="80"/>
      </w:pPr>
      <w:r>
        <w:rPr>
          <w:rFonts w:ascii="Arial" w:hAnsi="Arial"/>
          <w:b w:val="0"/>
          <w:i w:val="0"/>
          <w:sz w:val="21"/>
        </w:rPr>
        <w:t xml:space="preserve">Financial Mail (Arena Holdings) — 'The Finance Ghost: The Clicks conundrum — Will Dis-Chem sneak up from behind?', 30 Apr 2026 (premium). </w:t>
      </w:r>
      <w:hyperlink r:id="rId13">
        <w:r>
          <w:rPr>
            <w:rFonts w:ascii="Arial" w:hAnsi="Arial"/>
            <w:color w:val="0563C1"/>
            <w:u w:val="single"/>
            <w:sz w:val="21"/>
          </w:rPr>
          <w:t>Financial Mail, 30 Apr 2026</w:t>
        </w:r>
      </w:hyperlink>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Clicks Group CLS — Scenario Outlook FY2026/FY2027 — internal research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licksgroup.co.za/wp-content/uploads/2025/10/CGL-2025-Annual-results-announcement.pdf" TargetMode="External"/><Relationship Id="rId11" Type="http://schemas.openxmlformats.org/officeDocument/2006/relationships/hyperlink" Target="https://www.clicksgroup.co.za/wp-content/uploads/2026/04/CGL-2026-Interim-results-announcement-1.pdf" TargetMode="External"/><Relationship Id="rId12" Type="http://schemas.openxmlformats.org/officeDocument/2006/relationships/hyperlink" Target="https://www.businessday.co.za/companies/company-strategy/2026-02-10-news-analysis-clicks-stays-the-course-under-bertina-engelbrecht/" TargetMode="External"/><Relationship Id="rId13" Type="http://schemas.openxmlformats.org/officeDocument/2006/relationships/hyperlink" Target="https://www.financialmail.businessday.co.za/investing/2026-04-30-the-finance-ghost-the-clicks-conund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