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F3864"/>
          <w:sz w:val="32"/>
        </w:rPr>
        <w:t>FirstRand Limited (JSE: FSR)</w:t>
      </w:r>
    </w:p>
    <w:p>
      <w:pPr>
        <w:spacing w:after="40" w:before="0"/>
      </w:pPr>
      <w:r>
        <w:rPr>
          <w:rFonts w:ascii="Arial" w:hAnsi="Arial"/>
          <w:b w:val="0"/>
          <w:i w:val="0"/>
          <w:color w:val="595959"/>
          <w:sz w:val="20"/>
        </w:rPr>
        <w:t>Banking — diversified financial services group (FNB / RMB / WesBank / UK)  |  FY-end 30 June  |  Reporting currency: ZAR</w:t>
      </w:r>
    </w:p>
    <w:p>
      <w:pPr>
        <w:spacing w:after="40" w:before="0"/>
      </w:pPr>
      <w:r>
        <w:rPr>
          <w:rFonts w:ascii="Arial" w:hAnsi="Arial"/>
          <w:b w:val="0"/>
          <w:i w:val="0"/>
          <w:color w:val="595959"/>
          <w:sz w:val="20"/>
        </w:rPr>
        <w:t>Forward view: projected performance FY2026 &amp; FY2027 under Bull / Neutral / Bear conditions, with a management-language sentiment read</w:t>
      </w:r>
    </w:p>
    <w:p>
      <w:pPr>
        <w:spacing w:after="60" w:before="0"/>
      </w:pPr>
      <w:r>
        <w:rPr>
          <w:rFonts w:ascii="Arial" w:hAnsi="Arial"/>
          <w:b/>
          <w:i w:val="0"/>
          <w:sz w:val="26"/>
        </w:rPr>
        <w:t>Bull / Bear / Neutral Earnings Outlook &amp; Sentiment Analysis — FY2026–FY2027</w:t>
      </w:r>
    </w:p>
    <w:p>
      <w:pPr>
        <w:spacing w:after="200" w:before="0"/>
      </w:pPr>
      <w:r>
        <w:rPr>
          <w:rFonts w:ascii="Arial" w:hAnsi="Arial"/>
          <w:b w:val="0"/>
          <w:i/>
          <w:color w:val="595959"/>
          <w:sz w:val="18"/>
        </w:rPr>
        <w:t>Internal research note — prepared 17 June 2026. Quick-analysis scope. All forward figures are analyst estimates marked (e); FY2025 and H1 FY2026 figures are reported actuals.</w:t>
      </w:r>
    </w:p>
    <w:p>
      <w:pPr>
        <w:pStyle w:val="Heading1"/>
      </w:pPr>
      <w:r>
        <w:t>1. Summary &amp; verdict</w:t>
      </w:r>
    </w:p>
    <w:p>
      <w:pPr>
        <w:spacing w:after="160" w:before="0"/>
      </w:pPr>
      <w:r>
        <w:rPr>
          <w:rFonts w:ascii="Arial" w:hAnsi="Arial"/>
          <w:b/>
          <w:i w:val="0"/>
          <w:sz w:val="21"/>
        </w:rPr>
        <w:t xml:space="preserve">Sentiment is net positive and — unusually — already validated by hard numbers. </w:t>
      </w:r>
      <w:r>
        <w:rPr>
          <w:rFonts w:ascii="Arial" w:hAnsi="Arial"/>
          <w:b w:val="0"/>
          <w:i w:val="0"/>
          <w:sz w:val="21"/>
        </w:rPr>
        <w:t>FirstRand's FY2025 prospects statement (year to 30 June 2025) is dominated by constructive language — “positive signals”, “healthy advances growth”, “resilient”, “strong”, “improving”, “well positioned to capture a higher share” — and explicitly guides FY2026 normalised earnings growth into the “high mid-teens”, “significantly above” the group's long-term target of nominal GDP +0% to 3%, with normalised ROE moving toward the upper end of its 18–22% range (per FY2025 results booklet, Prospects, pp. 24–25). The H1 FY2026 interim (six months to 31 Dec 2025) then delivered against that tone: normalised earnings +11% to R23.2bn and ROE 21.1% (per interim results SENS, 5 Mar 2026).</w:t>
      </w:r>
    </w:p>
    <w:p>
      <w:pPr>
        <w:spacing w:after="160" w:before="0"/>
      </w:pPr>
      <w:r>
        <w:rPr>
          <w:rFonts w:ascii="Arial" w:hAnsi="Arial"/>
          <w:b/>
          <w:i w:val="0"/>
          <w:sz w:val="21"/>
        </w:rPr>
        <w:t xml:space="preserve">On balance the language and the early run-rate point to an earnings-UPGRADE bias and continued market-share gains as the base case, not downgrades. </w:t>
      </w:r>
      <w:r>
        <w:rPr>
          <w:rFonts w:ascii="Arial" w:hAnsi="Arial"/>
          <w:b w:val="0"/>
          <w:i w:val="0"/>
          <w:sz w:val="21"/>
        </w:rPr>
        <w:t>The downgrade risk is real but concentrated and identifiable: a challenging UK consumer, global volatility (US trade policy, the Middle East shock), execution of the HSBC South Africa acquisition, and a SARB that has just turned hawkish (repo +25bps to 7.0% on 28 May 2026 — the first hike since 2023). For a bank, a higher repo is a modest endowment tailwind to net interest income, but it pressures household affordability and the credit loss ratio, which is the key swing between our Neutral and Bear cases.</w:t>
      </w:r>
    </w:p>
    <w:tbl>
      <w:tblPr>
        <w:tblStyle w:val="TableGrid"/>
        <w:tblW w:type="auto" w:w="0"/>
        <w:tblLook w:firstColumn="1" w:firstRow="1" w:lastColumn="0" w:lastRow="0" w:noHBand="0" w:noVBand="1" w:val="04A0"/>
      </w:tblPr>
      <w:tblGrid>
        <w:gridCol w:w="9360"/>
      </w:tblGrid>
      <w:tr>
        <w:tc>
          <w:tcPr>
            <w:tcW w:type="dxa" w:w="9360"/>
            <w:shd w:val="clear" w:fill="FFF7E0"/>
          </w:tcPr>
          <w:p>
            <w:pPr>
              <w:spacing w:after="0"/>
            </w:pPr>
            <w:r/>
            <w:r>
              <w:rPr>
                <w:rFonts w:ascii="Arial" w:hAnsi="Arial"/>
                <w:b/>
                <w:i w:val="0"/>
                <w:sz w:val="21"/>
              </w:rPr>
              <w:t xml:space="preserve">Verdict.  </w:t>
            </w:r>
            <w:r>
              <w:rPr>
                <w:rFonts w:ascii="Arial" w:hAnsi="Arial"/>
                <w:b w:val="0"/>
                <w:i w:val="0"/>
                <w:sz w:val="21"/>
              </w:rPr>
              <w:t>Net positive sentiment, corroborated by the H1 FY2026 print. Base case (Neutral): normalised earnings ~+15% in FY2026 to ~R48.1bn (e) and ROE ~20.8% (e), i.e. an upgrade trajectory. Bull case ~+19% (e); Bear case ~+9% (e) — still positive, because even a stressed FirstRand compounds book value at a high ROE. Market share: management expects to “capture a higher share” across franchises, reinforced by the HSBC SA corporate book transferring to RMB. Watch the UK, global rates/volatility and HSBC integration for the downgrade scenario.</w:t>
            </w:r>
          </w:p>
        </w:tc>
      </w:tr>
    </w:tbl>
    <w:p>
      <w:pPr>
        <w:spacing w:after="40" w:before="0"/>
      </w:pPr>
    </w:p>
    <w:p>
      <w:pPr>
        <w:pStyle w:val="Heading1"/>
      </w:pPr>
      <w:r>
        <w:t>2. Sentiment scorecard — management language to earnings / market-share read</w:t>
      </w:r>
    </w:p>
    <w:p>
      <w:pPr>
        <w:spacing w:after="160" w:before="0"/>
      </w:pPr>
      <w:r>
        <w:rPr>
          <w:rFonts w:ascii="Arial" w:hAnsi="Arial"/>
          <w:b/>
          <w:i w:val="0"/>
          <w:sz w:val="21"/>
        </w:rPr>
        <w:t xml:space="preserve">Method: </w:t>
      </w:r>
      <w:r>
        <w:rPr>
          <w:rFonts w:ascii="Arial" w:hAnsi="Arial"/>
          <w:b w:val="0"/>
          <w:i w:val="0"/>
          <w:sz w:val="21"/>
        </w:rPr>
        <w:t>each theme in the FY2025 “Prospects” statement is tagged by the dominant directional language (verbatim cues quoted), classified Positive / Mixed / Cautious, and mapped to whether it argues for an earnings or market-share upgrade or downgrade. Tally: roughly seven positive/strongly-positive themes against three mixed-to-cautious and one neutral — a clearly constructive net reading.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0"/>
            <w:shd w:val="clear" w:fill="1F3864"/>
          </w:tcPr>
          <w:p>
            <w:r/>
            <w:r>
              <w:rPr>
                <w:rFonts w:ascii="Arial" w:hAnsi="Arial"/>
                <w:b/>
                <w:i w:val="0"/>
                <w:color w:val="FFFFFF"/>
                <w:sz w:val="18"/>
              </w:rPr>
              <w:t>Theme</w:t>
            </w:r>
          </w:p>
        </w:tc>
        <w:tc>
          <w:tcPr>
            <w:tcW w:type="dxa" w:w="4400"/>
            <w:shd w:val="clear" w:fill="1F3864"/>
          </w:tcPr>
          <w:p>
            <w:r/>
            <w:r>
              <w:rPr>
                <w:rFonts w:ascii="Arial" w:hAnsi="Arial"/>
                <w:b/>
                <w:i w:val="0"/>
                <w:color w:val="FFFFFF"/>
                <w:sz w:val="18"/>
              </w:rPr>
              <w:t>Management language (verbatim cues)</w:t>
            </w:r>
          </w:p>
        </w:tc>
        <w:tc>
          <w:tcPr>
            <w:tcW w:type="dxa" w:w="1100"/>
            <w:shd w:val="clear" w:fill="1F3864"/>
          </w:tcPr>
          <w:p>
            <w:r/>
            <w:r>
              <w:rPr>
                <w:rFonts w:ascii="Arial" w:hAnsi="Arial"/>
                <w:b/>
                <w:i w:val="0"/>
                <w:color w:val="FFFFFF"/>
                <w:sz w:val="18"/>
              </w:rPr>
              <w:t>Tone</w:t>
            </w:r>
          </w:p>
        </w:tc>
        <w:tc>
          <w:tcPr>
            <w:tcW w:type="dxa" w:w="2000"/>
            <w:shd w:val="clear" w:fill="1F3864"/>
          </w:tcPr>
          <w:p>
            <w:r/>
            <w:r>
              <w:rPr>
                <w:rFonts w:ascii="Arial" w:hAnsi="Arial"/>
                <w:b/>
                <w:i w:val="0"/>
                <w:color w:val="FFFFFF"/>
                <w:sz w:val="18"/>
              </w:rPr>
              <w:t>Earnings / share read</w:t>
            </w:r>
          </w:p>
        </w:tc>
      </w:tr>
      <w:tr>
        <w:tc>
          <w:tcPr>
            <w:tcW w:type="dxa" w:w="1700"/>
            <w:shd w:val="clear" w:fill="F2F2F2"/>
          </w:tcPr>
          <w:p>
            <w:r/>
            <w:r>
              <w:rPr>
                <w:rFonts w:ascii="Arial" w:hAnsi="Arial"/>
                <w:b/>
                <w:i w:val="0"/>
                <w:sz w:val="18"/>
              </w:rPr>
              <w:t>SA macro / reform</w:t>
            </w:r>
          </w:p>
        </w:tc>
        <w:tc>
          <w:tcPr>
            <w:tcW w:type="dxa" w:w="4400"/>
          </w:tcPr>
          <w:p>
            <w:r/>
            <w:r>
              <w:rPr>
                <w:rFonts w:ascii="Arial" w:hAnsi="Arial"/>
                <w:b w:val="0"/>
                <w:i w:val="0"/>
                <w:sz w:val="18"/>
              </w:rPr>
              <w:t>“positive signals”; “slow but steady progress on structural reforms” (Operation Vulindlela); “shift towards a lower inflation level”</w:t>
            </w:r>
          </w:p>
        </w:tc>
        <w:tc>
          <w:tcPr>
            <w:tcW w:type="dxa" w:w="1100"/>
          </w:tcPr>
          <w:p>
            <w:r/>
            <w:r>
              <w:rPr>
                <w:rFonts w:ascii="Arial" w:hAnsi="Arial"/>
                <w:b w:val="0"/>
                <w:i w:val="0"/>
                <w:sz w:val="18"/>
              </w:rPr>
              <w:t>Positive</w:t>
            </w:r>
          </w:p>
        </w:tc>
        <w:tc>
          <w:tcPr>
            <w:tcW w:type="dxa" w:w="2000"/>
          </w:tcPr>
          <w:p>
            <w:r/>
            <w:r>
              <w:rPr>
                <w:rFonts w:ascii="Arial" w:hAnsi="Arial"/>
                <w:b w:val="0"/>
                <w:i w:val="0"/>
                <w:sz w:val="18"/>
              </w:rPr>
              <w:t>Upgrade — supports advances &amp; credit quality</w:t>
            </w:r>
          </w:p>
        </w:tc>
      </w:tr>
      <w:tr>
        <w:tc>
          <w:tcPr>
            <w:tcW w:type="dxa" w:w="1700"/>
            <w:shd w:val="clear" w:fill="F2F2F2"/>
          </w:tcPr>
          <w:p>
            <w:r/>
            <w:r>
              <w:rPr>
                <w:rFonts w:ascii="Arial" w:hAnsi="Arial"/>
                <w:b/>
                <w:i w:val="0"/>
                <w:sz w:val="18"/>
              </w:rPr>
              <w:t>Advances growth</w:t>
            </w:r>
          </w:p>
        </w:tc>
        <w:tc>
          <w:tcPr>
            <w:tcW w:type="dxa" w:w="4400"/>
            <w:shd w:val="clear" w:fill="FAFAFA"/>
          </w:tcPr>
          <w:p>
            <w:r/>
            <w:r>
              <w:rPr>
                <w:rFonts w:ascii="Arial" w:hAnsi="Arial"/>
                <w:b w:val="0"/>
                <w:i w:val="0"/>
                <w:sz w:val="18"/>
              </w:rPr>
              <w:t>“healthy advances growth is anticipated from all large lending portfolios”; SA retail “expected to exceed the year under review”; “more constructive macros”; “creating capacity”</w:t>
            </w:r>
          </w:p>
        </w:tc>
        <w:tc>
          <w:tcPr>
            <w:tcW w:type="dxa" w:w="1100"/>
            <w:shd w:val="clear" w:fill="FAFAFA"/>
          </w:tcPr>
          <w:p>
            <w:r/>
            <w:r>
              <w:rPr>
                <w:rFonts w:ascii="Arial" w:hAnsi="Arial"/>
                <w:b w:val="0"/>
                <w:i w:val="0"/>
                <w:sz w:val="18"/>
              </w:rPr>
              <w:t>Positive</w:t>
            </w:r>
          </w:p>
        </w:tc>
        <w:tc>
          <w:tcPr>
            <w:tcW w:type="dxa" w:w="2000"/>
            <w:shd w:val="clear" w:fill="FAFAFA"/>
          </w:tcPr>
          <w:p>
            <w:r/>
            <w:r>
              <w:rPr>
                <w:rFonts w:ascii="Arial" w:hAnsi="Arial"/>
                <w:b w:val="0"/>
                <w:i w:val="0"/>
                <w:sz w:val="18"/>
              </w:rPr>
              <w:t>Upgrade — volume-led NII</w:t>
            </w:r>
          </w:p>
        </w:tc>
      </w:tr>
      <w:tr>
        <w:tc>
          <w:tcPr>
            <w:tcW w:type="dxa" w:w="1700"/>
            <w:shd w:val="clear" w:fill="F2F2F2"/>
          </w:tcPr>
          <w:p>
            <w:r/>
            <w:r>
              <w:rPr>
                <w:rFonts w:ascii="Arial" w:hAnsi="Arial"/>
                <w:b/>
                <w:i w:val="0"/>
                <w:sz w:val="18"/>
              </w:rPr>
              <w:t>Net interest income</w:t>
            </w:r>
          </w:p>
        </w:tc>
        <w:tc>
          <w:tcPr>
            <w:tcW w:type="dxa" w:w="4400"/>
          </w:tcPr>
          <w:p>
            <w:r/>
            <w:r>
              <w:rPr>
                <w:rFonts w:ascii="Arial" w:hAnsi="Arial"/>
                <w:b w:val="0"/>
                <w:i w:val="0"/>
                <w:sz w:val="18"/>
              </w:rPr>
              <w:t>“mid to high single-digit growth”; “ALM strategy will continue to provide some protection to endowment”</w:t>
            </w:r>
          </w:p>
        </w:tc>
        <w:tc>
          <w:tcPr>
            <w:tcW w:type="dxa" w:w="1100"/>
          </w:tcPr>
          <w:p>
            <w:r/>
            <w:r>
              <w:rPr>
                <w:rFonts w:ascii="Arial" w:hAnsi="Arial"/>
                <w:b w:val="0"/>
                <w:i w:val="0"/>
                <w:sz w:val="18"/>
              </w:rPr>
              <w:t>Positive / steady</w:t>
            </w:r>
          </w:p>
        </w:tc>
        <w:tc>
          <w:tcPr>
            <w:tcW w:type="dxa" w:w="2000"/>
          </w:tcPr>
          <w:p>
            <w:r/>
            <w:r>
              <w:rPr>
                <w:rFonts w:ascii="Arial" w:hAnsi="Arial"/>
                <w:b w:val="0"/>
                <w:i w:val="0"/>
                <w:sz w:val="18"/>
              </w:rPr>
              <w:t>Neutral-to-up — + the 7.0% repo is an endowment tailwind</w:t>
            </w:r>
          </w:p>
        </w:tc>
      </w:tr>
      <w:tr>
        <w:tc>
          <w:tcPr>
            <w:tcW w:type="dxa" w:w="1700"/>
            <w:shd w:val="clear" w:fill="F2F2F2"/>
          </w:tcPr>
          <w:p>
            <w:r/>
            <w:r>
              <w:rPr>
                <w:rFonts w:ascii="Arial" w:hAnsi="Arial"/>
                <w:b/>
                <w:i w:val="0"/>
                <w:sz w:val="18"/>
              </w:rPr>
              <w:t>Non-interest revenue</w:t>
            </w:r>
          </w:p>
        </w:tc>
        <w:tc>
          <w:tcPr>
            <w:tcW w:type="dxa" w:w="4400"/>
            <w:shd w:val="clear" w:fill="FAFAFA"/>
          </w:tcPr>
          <w:p>
            <w:r/>
            <w:r>
              <w:rPr>
                <w:rFonts w:ascii="Arial" w:hAnsi="Arial"/>
                <w:b w:val="0"/>
                <w:i w:val="0"/>
                <w:sz w:val="18"/>
              </w:rPr>
              <w:t>NIR “materially higher into the low to mid teens”; “resilient fee and commission income”; “strong insurance performance”; trading “to rebound”</w:t>
            </w:r>
          </w:p>
        </w:tc>
        <w:tc>
          <w:tcPr>
            <w:tcW w:type="dxa" w:w="1100"/>
            <w:shd w:val="clear" w:fill="FAFAFA"/>
          </w:tcPr>
          <w:p>
            <w:r/>
            <w:r>
              <w:rPr>
                <w:rFonts w:ascii="Arial" w:hAnsi="Arial"/>
                <w:b w:val="0"/>
                <w:i w:val="0"/>
                <w:sz w:val="18"/>
              </w:rPr>
              <w:t>Strongly positive</w:t>
            </w:r>
          </w:p>
        </w:tc>
        <w:tc>
          <w:tcPr>
            <w:tcW w:type="dxa" w:w="2000"/>
            <w:shd w:val="clear" w:fill="FAFAFA"/>
          </w:tcPr>
          <w:p>
            <w:r/>
            <w:r>
              <w:rPr>
                <w:rFonts w:ascii="Arial" w:hAnsi="Arial"/>
                <w:b w:val="0"/>
                <w:i w:val="0"/>
                <w:sz w:val="18"/>
              </w:rPr>
              <w:t>Upgrade — key earnings driver</w:t>
            </w:r>
          </w:p>
        </w:tc>
      </w:tr>
      <w:tr>
        <w:tc>
          <w:tcPr>
            <w:tcW w:type="dxa" w:w="1700"/>
            <w:shd w:val="clear" w:fill="F2F2F2"/>
          </w:tcPr>
          <w:p>
            <w:r/>
            <w:r>
              <w:rPr>
                <w:rFonts w:ascii="Arial" w:hAnsi="Arial"/>
                <w:b/>
                <w:i w:val="0"/>
                <w:sz w:val="18"/>
              </w:rPr>
              <w:t>Credit / impairments</w:t>
            </w:r>
          </w:p>
        </w:tc>
        <w:tc>
          <w:tcPr>
            <w:tcW w:type="dxa" w:w="4400"/>
          </w:tcPr>
          <w:p>
            <w:r/>
            <w:r>
              <w:rPr>
                <w:rFonts w:ascii="Arial" w:hAnsi="Arial"/>
                <w:b w:val="0"/>
                <w:i w:val="0"/>
                <w:sz w:val="18"/>
              </w:rPr>
              <w:t>CLR “will remain at the bottom of its through-the-cycle range”; “retail credit continues to improve”; but “some additional front book strain”; “some normalisation in the UK cost of credit”</w:t>
            </w:r>
          </w:p>
        </w:tc>
        <w:tc>
          <w:tcPr>
            <w:tcW w:type="dxa" w:w="1100"/>
          </w:tcPr>
          <w:p>
            <w:r/>
            <w:r>
              <w:rPr>
                <w:rFonts w:ascii="Arial" w:hAnsi="Arial"/>
                <w:b w:val="0"/>
                <w:i w:val="0"/>
                <w:sz w:val="18"/>
              </w:rPr>
              <w:t>Net positive (hedged)</w:t>
            </w:r>
          </w:p>
        </w:tc>
        <w:tc>
          <w:tcPr>
            <w:tcW w:type="dxa" w:w="2000"/>
          </w:tcPr>
          <w:p>
            <w:r/>
            <w:r>
              <w:rPr>
                <w:rFonts w:ascii="Arial" w:hAnsi="Arial"/>
                <w:b w:val="0"/>
                <w:i w:val="0"/>
                <w:sz w:val="18"/>
              </w:rPr>
              <w:t>Up — benign, but the swing factor</w:t>
            </w:r>
          </w:p>
        </w:tc>
      </w:tr>
      <w:tr>
        <w:tc>
          <w:tcPr>
            <w:tcW w:type="dxa" w:w="1700"/>
            <w:shd w:val="clear" w:fill="F2F2F2"/>
          </w:tcPr>
          <w:p>
            <w:r/>
            <w:r>
              <w:rPr>
                <w:rFonts w:ascii="Arial" w:hAnsi="Arial"/>
                <w:b/>
                <w:i w:val="0"/>
                <w:sz w:val="18"/>
              </w:rPr>
              <w:t>Costs</w:t>
            </w:r>
          </w:p>
        </w:tc>
        <w:tc>
          <w:tcPr>
            <w:tcW w:type="dxa" w:w="4400"/>
            <w:shd w:val="clear" w:fill="FAFAFA"/>
          </w:tcPr>
          <w:p>
            <w:r/>
            <w:r>
              <w:rPr>
                <w:rFonts w:ascii="Arial" w:hAnsi="Arial"/>
                <w:b w:val="0"/>
                <w:i w:val="0"/>
                <w:sz w:val="18"/>
              </w:rPr>
              <w:t>“cost growth slightly below inflationary growth” (incl. motor-commission base effect); ex-base “costs will trend above inflation by 2% to 3%”; will “offset any early revenue benefits”</w:t>
            </w:r>
          </w:p>
        </w:tc>
        <w:tc>
          <w:tcPr>
            <w:tcW w:type="dxa" w:w="1100"/>
            <w:shd w:val="clear" w:fill="FAFAFA"/>
          </w:tcPr>
          <w:p>
            <w:r/>
            <w:r>
              <w:rPr>
                <w:rFonts w:ascii="Arial" w:hAnsi="Arial"/>
                <w:b w:val="0"/>
                <w:i w:val="0"/>
                <w:sz w:val="18"/>
              </w:rPr>
              <w:t>Mixed / cautious</w:t>
            </w:r>
          </w:p>
        </w:tc>
        <w:tc>
          <w:tcPr>
            <w:tcW w:type="dxa" w:w="2000"/>
            <w:shd w:val="clear" w:fill="FAFAFA"/>
          </w:tcPr>
          <w:p>
            <w:r/>
            <w:r>
              <w:rPr>
                <w:rFonts w:ascii="Arial" w:hAnsi="Arial"/>
                <w:b w:val="0"/>
                <w:i w:val="0"/>
                <w:sz w:val="18"/>
              </w:rPr>
              <w:t>Margin watch</w:t>
            </w:r>
          </w:p>
        </w:tc>
      </w:tr>
      <w:tr>
        <w:tc>
          <w:tcPr>
            <w:tcW w:type="dxa" w:w="1700"/>
            <w:shd w:val="clear" w:fill="F2F2F2"/>
          </w:tcPr>
          <w:p>
            <w:r/>
            <w:r>
              <w:rPr>
                <w:rFonts w:ascii="Arial" w:hAnsi="Arial"/>
                <w:b/>
                <w:i w:val="0"/>
                <w:sz w:val="18"/>
              </w:rPr>
              <w:t>UK operations</w:t>
            </w:r>
          </w:p>
        </w:tc>
        <w:tc>
          <w:tcPr>
            <w:tcW w:type="dxa" w:w="4400"/>
          </w:tcPr>
          <w:p>
            <w:r/>
            <w:r>
              <w:rPr>
                <w:rFonts w:ascii="Arial" w:hAnsi="Arial"/>
                <w:b w:val="0"/>
                <w:i w:val="0"/>
                <w:sz w:val="18"/>
              </w:rPr>
              <w:t>“macroeconomic environment will remain challenging”; “consumer spending may moderate”; “pressures” — but “continued recovery in property prices and lending markets”</w:t>
            </w:r>
          </w:p>
        </w:tc>
        <w:tc>
          <w:tcPr>
            <w:tcW w:type="dxa" w:w="1100"/>
          </w:tcPr>
          <w:p>
            <w:r/>
            <w:r>
              <w:rPr>
                <w:rFonts w:ascii="Arial" w:hAnsi="Arial"/>
                <w:b w:val="0"/>
                <w:i w:val="0"/>
                <w:sz w:val="18"/>
              </w:rPr>
              <w:t>Mixed / cautious</w:t>
            </w:r>
          </w:p>
        </w:tc>
        <w:tc>
          <w:tcPr>
            <w:tcW w:type="dxa" w:w="2000"/>
          </w:tcPr>
          <w:p>
            <w:r/>
            <w:r>
              <w:rPr>
                <w:rFonts w:ascii="Arial" w:hAnsi="Arial"/>
                <w:b w:val="0"/>
                <w:i w:val="0"/>
                <w:sz w:val="18"/>
              </w:rPr>
              <w:t>Downside hedge</w:t>
            </w:r>
          </w:p>
        </w:tc>
      </w:tr>
      <w:tr>
        <w:tc>
          <w:tcPr>
            <w:tcW w:type="dxa" w:w="1700"/>
            <w:shd w:val="clear" w:fill="F2F2F2"/>
          </w:tcPr>
          <w:p>
            <w:r/>
            <w:r>
              <w:rPr>
                <w:rFonts w:ascii="Arial" w:hAnsi="Arial"/>
                <w:b/>
                <w:i w:val="0"/>
                <w:sz w:val="18"/>
              </w:rPr>
              <w:t>Global backdrop</w:t>
            </w:r>
          </w:p>
        </w:tc>
        <w:tc>
          <w:tcPr>
            <w:tcW w:type="dxa" w:w="4400"/>
            <w:shd w:val="clear" w:fill="FAFAFA"/>
          </w:tcPr>
          <w:p>
            <w:r/>
            <w:r>
              <w:rPr>
                <w:rFonts w:ascii="Arial" w:hAnsi="Arial"/>
                <w:b w:val="0"/>
                <w:i w:val="0"/>
                <w:sz w:val="18"/>
              </w:rPr>
              <w:t>“unsettling”; “global fracturing”; “periods of volatility”; US trade policy “a source of global uncertainty”</w:t>
            </w:r>
          </w:p>
        </w:tc>
        <w:tc>
          <w:tcPr>
            <w:tcW w:type="dxa" w:w="1100"/>
            <w:shd w:val="clear" w:fill="FAFAFA"/>
          </w:tcPr>
          <w:p>
            <w:r/>
            <w:r>
              <w:rPr>
                <w:rFonts w:ascii="Arial" w:hAnsi="Arial"/>
                <w:b w:val="0"/>
                <w:i w:val="0"/>
                <w:sz w:val="18"/>
              </w:rPr>
              <w:t>Cautious</w:t>
            </w:r>
          </w:p>
        </w:tc>
        <w:tc>
          <w:tcPr>
            <w:tcW w:type="dxa" w:w="2000"/>
            <w:shd w:val="clear" w:fill="FAFAFA"/>
          </w:tcPr>
          <w:p>
            <w:r/>
            <w:r>
              <w:rPr>
                <w:rFonts w:ascii="Arial" w:hAnsi="Arial"/>
                <w:b w:val="0"/>
                <w:i w:val="0"/>
                <w:sz w:val="18"/>
              </w:rPr>
              <w:t>External risk</w:t>
            </w:r>
          </w:p>
        </w:tc>
      </w:tr>
      <w:tr>
        <w:tc>
          <w:tcPr>
            <w:tcW w:type="dxa" w:w="1700"/>
            <w:shd w:val="clear" w:fill="F2F2F2"/>
          </w:tcPr>
          <w:p>
            <w:r/>
            <w:r>
              <w:rPr>
                <w:rFonts w:ascii="Arial" w:hAnsi="Arial"/>
                <w:b/>
                <w:i w:val="0"/>
                <w:sz w:val="18"/>
              </w:rPr>
              <w:t>HSBC SA acquisition</w:t>
            </w:r>
          </w:p>
        </w:tc>
        <w:tc>
          <w:tcPr>
            <w:tcW w:type="dxa" w:w="4400"/>
          </w:tcPr>
          <w:p>
            <w:r/>
            <w:r>
              <w:rPr>
                <w:rFonts w:ascii="Arial" w:hAnsi="Arial"/>
                <w:b w:val="0"/>
                <w:i w:val="0"/>
                <w:sz w:val="18"/>
              </w:rPr>
              <w:t>“major milestone”; “supports NII and NIR growth in the following years”; but “migration process complexity may affect the completion date” (expected FY2026)</w:t>
            </w:r>
          </w:p>
        </w:tc>
        <w:tc>
          <w:tcPr>
            <w:tcW w:type="dxa" w:w="1100"/>
          </w:tcPr>
          <w:p>
            <w:r/>
            <w:r>
              <w:rPr>
                <w:rFonts w:ascii="Arial" w:hAnsi="Arial"/>
                <w:b w:val="0"/>
                <w:i w:val="0"/>
                <w:sz w:val="18"/>
              </w:rPr>
              <w:t>Positive (execution hedge)</w:t>
            </w:r>
          </w:p>
        </w:tc>
        <w:tc>
          <w:tcPr>
            <w:tcW w:type="dxa" w:w="2000"/>
          </w:tcPr>
          <w:p>
            <w:r/>
            <w:r>
              <w:rPr>
                <w:rFonts w:ascii="Arial" w:hAnsi="Arial"/>
                <w:b w:val="0"/>
                <w:i w:val="0"/>
                <w:sz w:val="18"/>
              </w:rPr>
              <w:t>Up — market-share gain in corporate</w:t>
            </w:r>
          </w:p>
        </w:tc>
      </w:tr>
      <w:tr>
        <w:tc>
          <w:tcPr>
            <w:tcW w:type="dxa" w:w="1700"/>
            <w:shd w:val="clear" w:fill="F2F2F2"/>
          </w:tcPr>
          <w:p>
            <w:r/>
            <w:r>
              <w:rPr>
                <w:rFonts w:ascii="Arial" w:hAnsi="Arial"/>
                <w:b/>
                <w:i w:val="0"/>
                <w:sz w:val="18"/>
              </w:rPr>
              <w:t>Earnings / ROE guidance</w:t>
            </w:r>
          </w:p>
        </w:tc>
        <w:tc>
          <w:tcPr>
            <w:tcW w:type="dxa" w:w="4400"/>
            <w:shd w:val="clear" w:fill="FAFAFA"/>
          </w:tcPr>
          <w:p>
            <w:r/>
            <w:r>
              <w:rPr>
                <w:rFonts w:ascii="Arial" w:hAnsi="Arial"/>
                <w:b w:val="0"/>
                <w:i w:val="0"/>
                <w:sz w:val="18"/>
              </w:rPr>
              <w:t>FY2026 normalised earnings growth “high mid-teens”, “significantly above” target; ROE “expected to improve and move closer to the upper end” of 18–22%</w:t>
            </w:r>
          </w:p>
        </w:tc>
        <w:tc>
          <w:tcPr>
            <w:tcW w:type="dxa" w:w="1100"/>
            <w:shd w:val="clear" w:fill="FAFAFA"/>
          </w:tcPr>
          <w:p>
            <w:r/>
            <w:r>
              <w:rPr>
                <w:rFonts w:ascii="Arial" w:hAnsi="Arial"/>
                <w:b w:val="0"/>
                <w:i w:val="0"/>
                <w:sz w:val="18"/>
              </w:rPr>
              <w:t>Strongly positive</w:t>
            </w:r>
          </w:p>
        </w:tc>
        <w:tc>
          <w:tcPr>
            <w:tcW w:type="dxa" w:w="2000"/>
            <w:shd w:val="clear" w:fill="FAFAFA"/>
          </w:tcPr>
          <w:p>
            <w:r/>
            <w:r>
              <w:rPr>
                <w:rFonts w:ascii="Arial" w:hAnsi="Arial"/>
                <w:b w:val="0"/>
                <w:i w:val="0"/>
                <w:sz w:val="18"/>
              </w:rPr>
              <w:t>Explicit upgrade guidance</w:t>
            </w:r>
          </w:p>
        </w:tc>
      </w:tr>
      <w:tr>
        <w:tc>
          <w:tcPr>
            <w:tcW w:type="dxa" w:w="1700"/>
            <w:shd w:val="clear" w:fill="F2F2F2"/>
          </w:tcPr>
          <w:p>
            <w:r/>
            <w:r>
              <w:rPr>
                <w:rFonts w:ascii="Arial" w:hAnsi="Arial"/>
                <w:b/>
                <w:i w:val="0"/>
                <w:sz w:val="18"/>
              </w:rPr>
              <w:t>Capital / dividend</w:t>
            </w:r>
          </w:p>
        </w:tc>
        <w:tc>
          <w:tcPr>
            <w:tcW w:type="dxa" w:w="4400"/>
          </w:tcPr>
          <w:p>
            <w:r/>
            <w:r>
              <w:rPr>
                <w:rFonts w:ascii="Arial" w:hAnsi="Arial"/>
                <w:b w:val="0"/>
                <w:i w:val="0"/>
                <w:sz w:val="18"/>
              </w:rPr>
              <w:t>“high return profile and solid capital position”; dividend cover at bottom of 1.6–2.0x (payout ≈63%)</w:t>
            </w:r>
          </w:p>
        </w:tc>
        <w:tc>
          <w:tcPr>
            <w:tcW w:type="dxa" w:w="1100"/>
          </w:tcPr>
          <w:p>
            <w:r/>
            <w:r>
              <w:rPr>
                <w:rFonts w:ascii="Arial" w:hAnsi="Arial"/>
                <w:b w:val="0"/>
                <w:i w:val="0"/>
                <w:sz w:val="18"/>
              </w:rPr>
              <w:t>Positive</w:t>
            </w:r>
          </w:p>
        </w:tc>
        <w:tc>
          <w:tcPr>
            <w:tcW w:type="dxa" w:w="2000"/>
          </w:tcPr>
          <w:p>
            <w:r/>
            <w:r>
              <w:rPr>
                <w:rFonts w:ascii="Arial" w:hAnsi="Arial"/>
                <w:b w:val="0"/>
                <w:i w:val="0"/>
                <w:sz w:val="18"/>
              </w:rPr>
              <w:t>Up — strong distribution capacity</w:t>
            </w:r>
          </w:p>
        </w:tc>
      </w:tr>
    </w:tbl>
    <w:p>
      <w:pPr>
        <w:spacing w:after="40" w:before="0"/>
      </w:pPr>
    </w:p>
    <w:p>
      <w:pPr>
        <w:spacing w:after="160" w:before="0"/>
      </w:pPr>
      <w:r>
        <w:rPr>
          <w:rFonts w:ascii="Arial" w:hAnsi="Arial"/>
          <w:b/>
          <w:i w:val="0"/>
          <w:sz w:val="21"/>
        </w:rPr>
        <w:t xml:space="preserve">Confirmation signal: </w:t>
      </w:r>
      <w:r>
        <w:rPr>
          <w:rFonts w:ascii="Arial" w:hAnsi="Arial"/>
          <w:b w:val="0"/>
          <w:i w:val="0"/>
          <w:sz w:val="21"/>
        </w:rPr>
        <w:t>the positive tone was not just rhetoric. H1 FY2026 (to 31 Dec 2025) printed NII +8%, NIR +12%, normalised earnings +11% to R23.2bn, ROE 21.1% (above the midpoint of the target range), CLR a contained 0.86%, cost-to-income improved to 48.7%, CET1 up to 14.4% and DPS +18% to 259c (per interim results SENS, 5 Mar 2026). When constructive guidance is followed by an in-line-to-better interim, the sentiment carries more weight as an upgrade signal.</w:t>
      </w:r>
    </w:p>
    <w:p>
      <w:pPr>
        <w:pStyle w:val="Heading1"/>
      </w:pPr>
      <w:r>
        <w:t>3. The base — FY2025 reported actuals (sacred)</w:t>
      </w:r>
    </w:p>
    <w:p>
      <w:pPr>
        <w:spacing w:after="120" w:before="0"/>
      </w:pPr>
      <w:r>
        <w:rPr>
          <w:rFonts w:ascii="Arial" w:hAnsi="Arial"/>
          <w:b w:val="0"/>
          <w:i w:val="0"/>
          <w:sz w:val="21"/>
        </w:rPr>
        <w:t>All figures per the FirstRand FY2025 Analysis of Financial Results (year to 30 June 2025). These anchor every projection below; forward figures grow off this base and are marked (e).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800"/>
            <w:shd w:val="clear" w:fill="1F3864"/>
          </w:tcPr>
          <w:p>
            <w:r/>
            <w:r>
              <w:rPr>
                <w:rFonts w:ascii="Arial" w:hAnsi="Arial"/>
                <w:b/>
                <w:i w:val="0"/>
                <w:color w:val="FFFFFF"/>
                <w:sz w:val="18"/>
              </w:rPr>
              <w:t>Metric</w:t>
            </w:r>
          </w:p>
        </w:tc>
        <w:tc>
          <w:tcPr>
            <w:tcW w:type="dxa" w:w="1900"/>
            <w:shd w:val="clear" w:fill="2E5496"/>
          </w:tcPr>
          <w:p>
            <w:r/>
            <w:r>
              <w:rPr>
                <w:rFonts w:ascii="Arial" w:hAnsi="Arial"/>
                <w:b/>
                <w:i w:val="0"/>
                <w:color w:val="FFFFFF"/>
                <w:sz w:val="18"/>
              </w:rPr>
              <w:t>FY2025</w:t>
            </w:r>
          </w:p>
        </w:tc>
        <w:tc>
          <w:tcPr>
            <w:tcW w:type="dxa" w:w="1900"/>
            <w:shd w:val="clear" w:fill="808080"/>
          </w:tcPr>
          <w:p>
            <w:r/>
            <w:r>
              <w:rPr>
                <w:rFonts w:ascii="Arial" w:hAnsi="Arial"/>
                <w:b/>
                <w:i w:val="0"/>
                <w:color w:val="FFFFFF"/>
                <w:sz w:val="18"/>
              </w:rPr>
              <w:t>FY2024</w:t>
            </w:r>
          </w:p>
        </w:tc>
        <w:tc>
          <w:tcPr>
            <w:tcW w:type="dxa" w:w="1600"/>
            <w:shd w:val="clear" w:fill="1F3864"/>
          </w:tcPr>
          <w:p>
            <w:r/>
            <w:r>
              <w:rPr>
                <w:rFonts w:ascii="Arial" w:hAnsi="Arial"/>
                <w:b/>
                <w:i w:val="0"/>
                <w:color w:val="FFFFFF"/>
                <w:sz w:val="18"/>
              </w:rPr>
              <w:t>Change</w:t>
            </w:r>
          </w:p>
        </w:tc>
      </w:tr>
      <w:tr>
        <w:tc>
          <w:tcPr>
            <w:tcW w:type="dxa" w:w="3800"/>
            <w:shd w:val="clear" w:fill="F2F2F2"/>
          </w:tcPr>
          <w:p>
            <w:r/>
            <w:r>
              <w:rPr>
                <w:rFonts w:ascii="Arial" w:hAnsi="Arial"/>
                <w:b/>
                <w:i w:val="0"/>
                <w:sz w:val="18"/>
              </w:rPr>
              <w:t>Normalised earnings (R'm)</w:t>
            </w:r>
          </w:p>
        </w:tc>
        <w:tc>
          <w:tcPr>
            <w:tcW w:type="dxa" w:w="1900"/>
          </w:tcPr>
          <w:p>
            <w:r/>
            <w:r>
              <w:rPr>
                <w:rFonts w:ascii="Arial" w:hAnsi="Arial"/>
                <w:b w:val="0"/>
                <w:i w:val="0"/>
                <w:sz w:val="18"/>
              </w:rPr>
              <w:t>41 824</w:t>
            </w:r>
          </w:p>
        </w:tc>
        <w:tc>
          <w:tcPr>
            <w:tcW w:type="dxa" w:w="1900"/>
          </w:tcPr>
          <w:p>
            <w:r/>
            <w:r>
              <w:rPr>
                <w:rFonts w:ascii="Arial" w:hAnsi="Arial"/>
                <w:b w:val="0"/>
                <w:i w:val="0"/>
                <w:sz w:val="18"/>
              </w:rPr>
              <w:t>37 988</w:t>
            </w:r>
          </w:p>
        </w:tc>
        <w:tc>
          <w:tcPr>
            <w:tcW w:type="dxa" w:w="1600"/>
          </w:tcPr>
          <w:p>
            <w:r/>
            <w:r>
              <w:rPr>
                <w:rFonts w:ascii="Arial" w:hAnsi="Arial"/>
                <w:b w:val="0"/>
                <w:i w:val="0"/>
                <w:sz w:val="18"/>
              </w:rPr>
              <w:t>+10%</w:t>
            </w:r>
          </w:p>
        </w:tc>
      </w:tr>
      <w:tr>
        <w:tc>
          <w:tcPr>
            <w:tcW w:type="dxa" w:w="3800"/>
            <w:shd w:val="clear" w:fill="F2F2F2"/>
          </w:tcPr>
          <w:p>
            <w:r/>
            <w:r>
              <w:rPr>
                <w:rFonts w:ascii="Arial" w:hAnsi="Arial"/>
                <w:b/>
                <w:i w:val="0"/>
                <w:sz w:val="18"/>
              </w:rPr>
              <w:t>HEPS (cents)</w:t>
            </w:r>
          </w:p>
        </w:tc>
        <w:tc>
          <w:tcPr>
            <w:tcW w:type="dxa" w:w="1900"/>
            <w:shd w:val="clear" w:fill="FAFAFA"/>
          </w:tcPr>
          <w:p>
            <w:r/>
            <w:r>
              <w:rPr>
                <w:rFonts w:ascii="Arial" w:hAnsi="Arial"/>
                <w:b w:val="0"/>
                <w:i w:val="0"/>
                <w:sz w:val="18"/>
              </w:rPr>
              <w:t>748.8</w:t>
            </w:r>
          </w:p>
        </w:tc>
        <w:tc>
          <w:tcPr>
            <w:tcW w:type="dxa" w:w="1900"/>
            <w:shd w:val="clear" w:fill="FAFAFA"/>
          </w:tcPr>
          <w:p>
            <w:r/>
            <w:r>
              <w:rPr>
                <w:rFonts w:ascii="Arial" w:hAnsi="Arial"/>
                <w:b w:val="0"/>
                <w:i w:val="0"/>
                <w:sz w:val="18"/>
              </w:rPr>
              <w:t>679.0</w:t>
            </w:r>
          </w:p>
        </w:tc>
        <w:tc>
          <w:tcPr>
            <w:tcW w:type="dxa" w:w="1600"/>
            <w:shd w:val="clear" w:fill="FAFAFA"/>
          </w:tcPr>
          <w:p>
            <w:r/>
            <w:r>
              <w:rPr>
                <w:rFonts w:ascii="Arial" w:hAnsi="Arial"/>
                <w:b w:val="0"/>
                <w:i w:val="0"/>
                <w:sz w:val="18"/>
              </w:rPr>
              <w:t>+10%</w:t>
            </w:r>
          </w:p>
        </w:tc>
      </w:tr>
      <w:tr>
        <w:tc>
          <w:tcPr>
            <w:tcW w:type="dxa" w:w="3800"/>
            <w:shd w:val="clear" w:fill="F2F2F2"/>
          </w:tcPr>
          <w:p>
            <w:r/>
            <w:r>
              <w:rPr>
                <w:rFonts w:ascii="Arial" w:hAnsi="Arial"/>
                <w:b/>
                <w:i w:val="0"/>
                <w:sz w:val="18"/>
              </w:rPr>
              <w:t>Normalised EPS, diluted (cents)</w:t>
            </w:r>
          </w:p>
        </w:tc>
        <w:tc>
          <w:tcPr>
            <w:tcW w:type="dxa" w:w="1900"/>
          </w:tcPr>
          <w:p>
            <w:r/>
            <w:r>
              <w:rPr>
                <w:rFonts w:ascii="Arial" w:hAnsi="Arial"/>
                <w:b w:val="0"/>
                <w:i w:val="0"/>
                <w:sz w:val="18"/>
              </w:rPr>
              <w:t>745.6</w:t>
            </w:r>
          </w:p>
        </w:tc>
        <w:tc>
          <w:tcPr>
            <w:tcW w:type="dxa" w:w="1900"/>
          </w:tcPr>
          <w:p>
            <w:r/>
            <w:r>
              <w:rPr>
                <w:rFonts w:ascii="Arial" w:hAnsi="Arial"/>
                <w:b w:val="0"/>
                <w:i w:val="0"/>
                <w:sz w:val="18"/>
              </w:rPr>
              <w:t>677.2</w:t>
            </w:r>
          </w:p>
        </w:tc>
        <w:tc>
          <w:tcPr>
            <w:tcW w:type="dxa" w:w="1600"/>
          </w:tcPr>
          <w:p>
            <w:r/>
            <w:r>
              <w:rPr>
                <w:rFonts w:ascii="Arial" w:hAnsi="Arial"/>
                <w:b w:val="0"/>
                <w:i w:val="0"/>
                <w:sz w:val="18"/>
              </w:rPr>
              <w:t>+10%</w:t>
            </w:r>
          </w:p>
        </w:tc>
      </w:tr>
      <w:tr>
        <w:tc>
          <w:tcPr>
            <w:tcW w:type="dxa" w:w="3800"/>
            <w:shd w:val="clear" w:fill="F2F2F2"/>
          </w:tcPr>
          <w:p>
            <w:r/>
            <w:r>
              <w:rPr>
                <w:rFonts w:ascii="Arial" w:hAnsi="Arial"/>
                <w:b/>
                <w:i w:val="0"/>
                <w:sz w:val="18"/>
              </w:rPr>
              <w:t>Ordinary dividend per share (cents)</w:t>
            </w:r>
          </w:p>
        </w:tc>
        <w:tc>
          <w:tcPr>
            <w:tcW w:type="dxa" w:w="1900"/>
            <w:shd w:val="clear" w:fill="FAFAFA"/>
          </w:tcPr>
          <w:p>
            <w:r/>
            <w:r>
              <w:rPr>
                <w:rFonts w:ascii="Arial" w:hAnsi="Arial"/>
                <w:b w:val="0"/>
                <w:i w:val="0"/>
                <w:sz w:val="18"/>
              </w:rPr>
              <w:t>466.0</w:t>
            </w:r>
          </w:p>
        </w:tc>
        <w:tc>
          <w:tcPr>
            <w:tcW w:type="dxa" w:w="1900"/>
            <w:shd w:val="clear" w:fill="FAFAFA"/>
          </w:tcPr>
          <w:p>
            <w:r/>
            <w:r>
              <w:rPr>
                <w:rFonts w:ascii="Arial" w:hAnsi="Arial"/>
                <w:b w:val="0"/>
                <w:i w:val="0"/>
                <w:sz w:val="18"/>
              </w:rPr>
              <w:t>415.0</w:t>
            </w:r>
          </w:p>
        </w:tc>
        <w:tc>
          <w:tcPr>
            <w:tcW w:type="dxa" w:w="1600"/>
            <w:shd w:val="clear" w:fill="FAFAFA"/>
          </w:tcPr>
          <w:p>
            <w:r/>
            <w:r>
              <w:rPr>
                <w:rFonts w:ascii="Arial" w:hAnsi="Arial"/>
                <w:b w:val="0"/>
                <w:i w:val="0"/>
                <w:sz w:val="18"/>
              </w:rPr>
              <w:t>+12%</w:t>
            </w:r>
          </w:p>
        </w:tc>
      </w:tr>
      <w:tr>
        <w:tc>
          <w:tcPr>
            <w:tcW w:type="dxa" w:w="3800"/>
            <w:shd w:val="clear" w:fill="F2F2F2"/>
          </w:tcPr>
          <w:p>
            <w:r/>
            <w:r>
              <w:rPr>
                <w:rFonts w:ascii="Arial" w:hAnsi="Arial"/>
                <w:b/>
                <w:i w:val="0"/>
                <w:sz w:val="18"/>
              </w:rPr>
              <w:t>Normalised ROE (%)</w:t>
            </w:r>
          </w:p>
        </w:tc>
        <w:tc>
          <w:tcPr>
            <w:tcW w:type="dxa" w:w="1900"/>
          </w:tcPr>
          <w:p>
            <w:r/>
            <w:r>
              <w:rPr>
                <w:rFonts w:ascii="Arial" w:hAnsi="Arial"/>
                <w:b w:val="0"/>
                <w:i w:val="0"/>
                <w:sz w:val="18"/>
              </w:rPr>
              <w:t>20.2</w:t>
            </w:r>
          </w:p>
        </w:tc>
        <w:tc>
          <w:tcPr>
            <w:tcW w:type="dxa" w:w="1900"/>
          </w:tcPr>
          <w:p>
            <w:r/>
            <w:r>
              <w:rPr>
                <w:rFonts w:ascii="Arial" w:hAnsi="Arial"/>
                <w:b w:val="0"/>
                <w:i w:val="0"/>
                <w:sz w:val="18"/>
              </w:rPr>
              <w:t>20.1</w:t>
            </w:r>
          </w:p>
        </w:tc>
        <w:tc>
          <w:tcPr>
            <w:tcW w:type="dxa" w:w="1600"/>
          </w:tcPr>
          <w:p>
            <w:r/>
            <w:r>
              <w:rPr>
                <w:rFonts w:ascii="Arial" w:hAnsi="Arial"/>
                <w:b w:val="0"/>
                <w:i w:val="0"/>
                <w:sz w:val="18"/>
              </w:rPr>
              <w:t>+10 bps</w:t>
            </w:r>
          </w:p>
        </w:tc>
      </w:tr>
      <w:tr>
        <w:tc>
          <w:tcPr>
            <w:tcW w:type="dxa" w:w="3800"/>
            <w:shd w:val="clear" w:fill="F2F2F2"/>
          </w:tcPr>
          <w:p>
            <w:r/>
            <w:r>
              <w:rPr>
                <w:rFonts w:ascii="Arial" w:hAnsi="Arial"/>
                <w:b/>
                <w:i w:val="0"/>
                <w:sz w:val="18"/>
              </w:rPr>
              <w:t>Net interest income, pre-impairment (R'm)</w:t>
            </w:r>
          </w:p>
        </w:tc>
        <w:tc>
          <w:tcPr>
            <w:tcW w:type="dxa" w:w="1900"/>
            <w:shd w:val="clear" w:fill="FAFAFA"/>
          </w:tcPr>
          <w:p>
            <w:r/>
            <w:r>
              <w:rPr>
                <w:rFonts w:ascii="Arial" w:hAnsi="Arial"/>
                <w:b w:val="0"/>
                <w:i w:val="0"/>
                <w:sz w:val="18"/>
              </w:rPr>
              <w:t>91 231</w:t>
            </w:r>
          </w:p>
        </w:tc>
        <w:tc>
          <w:tcPr>
            <w:tcW w:type="dxa" w:w="1900"/>
            <w:shd w:val="clear" w:fill="FAFAFA"/>
          </w:tcPr>
          <w:p>
            <w:r/>
            <w:r>
              <w:rPr>
                <w:rFonts w:ascii="Arial" w:hAnsi="Arial"/>
                <w:b w:val="0"/>
                <w:i w:val="0"/>
                <w:sz w:val="18"/>
              </w:rPr>
              <w:t>86 105</w:t>
            </w:r>
          </w:p>
        </w:tc>
        <w:tc>
          <w:tcPr>
            <w:tcW w:type="dxa" w:w="1600"/>
            <w:shd w:val="clear" w:fill="FAFAFA"/>
          </w:tcPr>
          <w:p>
            <w:r/>
            <w:r>
              <w:rPr>
                <w:rFonts w:ascii="Arial" w:hAnsi="Arial"/>
                <w:b w:val="0"/>
                <w:i w:val="0"/>
                <w:sz w:val="18"/>
              </w:rPr>
              <w:t>+6%</w:t>
            </w:r>
          </w:p>
        </w:tc>
      </w:tr>
      <w:tr>
        <w:tc>
          <w:tcPr>
            <w:tcW w:type="dxa" w:w="3800"/>
            <w:shd w:val="clear" w:fill="F2F2F2"/>
          </w:tcPr>
          <w:p>
            <w:r/>
            <w:r>
              <w:rPr>
                <w:rFonts w:ascii="Arial" w:hAnsi="Arial"/>
                <w:b/>
                <w:i w:val="0"/>
                <w:sz w:val="18"/>
              </w:rPr>
              <w:t>Non-interest revenue (R'm)</w:t>
            </w:r>
          </w:p>
        </w:tc>
        <w:tc>
          <w:tcPr>
            <w:tcW w:type="dxa" w:w="1900"/>
          </w:tcPr>
          <w:p>
            <w:r/>
            <w:r>
              <w:rPr>
                <w:rFonts w:ascii="Arial" w:hAnsi="Arial"/>
                <w:b w:val="0"/>
                <w:i w:val="0"/>
                <w:sz w:val="18"/>
              </w:rPr>
              <w:t>58 463</w:t>
            </w:r>
          </w:p>
        </w:tc>
        <w:tc>
          <w:tcPr>
            <w:tcW w:type="dxa" w:w="1900"/>
          </w:tcPr>
          <w:p>
            <w:r/>
            <w:r>
              <w:rPr>
                <w:rFonts w:ascii="Arial" w:hAnsi="Arial"/>
                <w:b w:val="0"/>
                <w:i w:val="0"/>
                <w:sz w:val="18"/>
              </w:rPr>
              <w:t>55 295</w:t>
            </w:r>
          </w:p>
        </w:tc>
        <w:tc>
          <w:tcPr>
            <w:tcW w:type="dxa" w:w="1600"/>
          </w:tcPr>
          <w:p>
            <w:r/>
            <w:r>
              <w:rPr>
                <w:rFonts w:ascii="Arial" w:hAnsi="Arial"/>
                <w:b w:val="0"/>
                <w:i w:val="0"/>
                <w:sz w:val="18"/>
              </w:rPr>
              <w:t>+6%</w:t>
            </w:r>
          </w:p>
        </w:tc>
      </w:tr>
      <w:tr>
        <w:tc>
          <w:tcPr>
            <w:tcW w:type="dxa" w:w="3800"/>
            <w:shd w:val="clear" w:fill="F2F2F2"/>
          </w:tcPr>
          <w:p>
            <w:r/>
            <w:r>
              <w:rPr>
                <w:rFonts w:ascii="Arial" w:hAnsi="Arial"/>
                <w:b/>
                <w:i w:val="0"/>
                <w:sz w:val="18"/>
              </w:rPr>
              <w:t>Total gross advances (R'm)</w:t>
            </w:r>
          </w:p>
        </w:tc>
        <w:tc>
          <w:tcPr>
            <w:tcW w:type="dxa" w:w="1900"/>
            <w:shd w:val="clear" w:fill="FAFAFA"/>
          </w:tcPr>
          <w:p>
            <w:r/>
            <w:r>
              <w:rPr>
                <w:rFonts w:ascii="Arial" w:hAnsi="Arial"/>
                <w:b w:val="0"/>
                <w:i w:val="0"/>
                <w:sz w:val="18"/>
              </w:rPr>
              <w:t>1 803 827</w:t>
            </w:r>
          </w:p>
        </w:tc>
        <w:tc>
          <w:tcPr>
            <w:tcW w:type="dxa" w:w="1900"/>
            <w:shd w:val="clear" w:fill="FAFAFA"/>
          </w:tcPr>
          <w:p>
            <w:r/>
            <w:r>
              <w:rPr>
                <w:rFonts w:ascii="Arial" w:hAnsi="Arial"/>
                <w:b w:val="0"/>
                <w:i w:val="0"/>
                <w:sz w:val="18"/>
              </w:rPr>
              <w:t>1 665 706</w:t>
            </w:r>
          </w:p>
        </w:tc>
        <w:tc>
          <w:tcPr>
            <w:tcW w:type="dxa" w:w="1600"/>
            <w:shd w:val="clear" w:fill="FAFAFA"/>
          </w:tcPr>
          <w:p>
            <w:r/>
            <w:r>
              <w:rPr>
                <w:rFonts w:ascii="Arial" w:hAnsi="Arial"/>
                <w:b w:val="0"/>
                <w:i w:val="0"/>
                <w:sz w:val="18"/>
              </w:rPr>
              <w:t>+8%</w:t>
            </w:r>
          </w:p>
        </w:tc>
      </w:tr>
      <w:tr>
        <w:tc>
          <w:tcPr>
            <w:tcW w:type="dxa" w:w="3800"/>
            <w:shd w:val="clear" w:fill="F2F2F2"/>
          </w:tcPr>
          <w:p>
            <w:r/>
            <w:r>
              <w:rPr>
                <w:rFonts w:ascii="Arial" w:hAnsi="Arial"/>
                <w:b/>
                <w:i w:val="0"/>
                <w:sz w:val="18"/>
              </w:rPr>
              <w:t>Cost-to-income ratio (%)</w:t>
            </w:r>
          </w:p>
        </w:tc>
        <w:tc>
          <w:tcPr>
            <w:tcW w:type="dxa" w:w="1900"/>
          </w:tcPr>
          <w:p>
            <w:r/>
            <w:r>
              <w:rPr>
                <w:rFonts w:ascii="Arial" w:hAnsi="Arial"/>
                <w:b w:val="0"/>
                <w:i w:val="0"/>
                <w:sz w:val="18"/>
              </w:rPr>
              <w:t>50.8</w:t>
            </w:r>
          </w:p>
        </w:tc>
        <w:tc>
          <w:tcPr>
            <w:tcW w:type="dxa" w:w="1900"/>
          </w:tcPr>
          <w:p>
            <w:r/>
            <w:r>
              <w:rPr>
                <w:rFonts w:ascii="Arial" w:hAnsi="Arial"/>
                <w:b w:val="0"/>
                <w:i w:val="0"/>
                <w:sz w:val="18"/>
              </w:rPr>
              <w:t>52.6</w:t>
            </w:r>
          </w:p>
        </w:tc>
        <w:tc>
          <w:tcPr>
            <w:tcW w:type="dxa" w:w="1600"/>
          </w:tcPr>
          <w:p>
            <w:r/>
            <w:r>
              <w:rPr>
                <w:rFonts w:ascii="Arial" w:hAnsi="Arial"/>
                <w:b w:val="0"/>
                <w:i w:val="0"/>
                <w:sz w:val="18"/>
              </w:rPr>
              <w:t>-180 bps</w:t>
            </w:r>
          </w:p>
        </w:tc>
      </w:tr>
      <w:tr>
        <w:tc>
          <w:tcPr>
            <w:tcW w:type="dxa" w:w="3800"/>
            <w:shd w:val="clear" w:fill="F2F2F2"/>
          </w:tcPr>
          <w:p>
            <w:r/>
            <w:r>
              <w:rPr>
                <w:rFonts w:ascii="Arial" w:hAnsi="Arial"/>
                <w:b/>
                <w:i w:val="0"/>
                <w:sz w:val="18"/>
              </w:rPr>
              <w:t>Credit loss ratio (%)</w:t>
            </w:r>
          </w:p>
        </w:tc>
        <w:tc>
          <w:tcPr>
            <w:tcW w:type="dxa" w:w="1900"/>
            <w:shd w:val="clear" w:fill="FAFAFA"/>
          </w:tcPr>
          <w:p>
            <w:r/>
            <w:r>
              <w:rPr>
                <w:rFonts w:ascii="Arial" w:hAnsi="Arial"/>
                <w:b w:val="0"/>
                <w:i w:val="0"/>
                <w:sz w:val="18"/>
              </w:rPr>
              <w:t>0.85</w:t>
            </w:r>
          </w:p>
        </w:tc>
        <w:tc>
          <w:tcPr>
            <w:tcW w:type="dxa" w:w="1900"/>
            <w:shd w:val="clear" w:fill="FAFAFA"/>
          </w:tcPr>
          <w:p>
            <w:r/>
            <w:r>
              <w:rPr>
                <w:rFonts w:ascii="Arial" w:hAnsi="Arial"/>
                <w:b w:val="0"/>
                <w:i w:val="0"/>
                <w:sz w:val="18"/>
              </w:rPr>
              <w:t>0.81</w:t>
            </w:r>
          </w:p>
        </w:tc>
        <w:tc>
          <w:tcPr>
            <w:tcW w:type="dxa" w:w="1600"/>
            <w:shd w:val="clear" w:fill="FAFAFA"/>
          </w:tcPr>
          <w:p>
            <w:r/>
            <w:r>
              <w:rPr>
                <w:rFonts w:ascii="Arial" w:hAnsi="Arial"/>
                <w:b w:val="0"/>
                <w:i w:val="0"/>
                <w:sz w:val="18"/>
              </w:rPr>
              <w:t>+4 bps</w:t>
            </w:r>
          </w:p>
        </w:tc>
      </w:tr>
      <w:tr>
        <w:tc>
          <w:tcPr>
            <w:tcW w:type="dxa" w:w="3800"/>
            <w:shd w:val="clear" w:fill="F2F2F2"/>
          </w:tcPr>
          <w:p>
            <w:r/>
            <w:r>
              <w:rPr>
                <w:rFonts w:ascii="Arial" w:hAnsi="Arial"/>
                <w:b/>
                <w:i w:val="0"/>
                <w:sz w:val="18"/>
              </w:rPr>
              <w:t>CET1 ratio (%)</w:t>
            </w:r>
          </w:p>
        </w:tc>
        <w:tc>
          <w:tcPr>
            <w:tcW w:type="dxa" w:w="1900"/>
          </w:tcPr>
          <w:p>
            <w:r/>
            <w:r>
              <w:rPr>
                <w:rFonts w:ascii="Arial" w:hAnsi="Arial"/>
                <w:b w:val="0"/>
                <w:i w:val="0"/>
                <w:sz w:val="18"/>
              </w:rPr>
              <w:t>14.0</w:t>
            </w:r>
          </w:p>
        </w:tc>
        <w:tc>
          <w:tcPr>
            <w:tcW w:type="dxa" w:w="1900"/>
          </w:tcPr>
          <w:p>
            <w:r/>
            <w:r>
              <w:rPr>
                <w:rFonts w:ascii="Arial" w:hAnsi="Arial"/>
                <w:b w:val="0"/>
                <w:i w:val="0"/>
                <w:sz w:val="18"/>
              </w:rPr>
              <w:t>13.5</w:t>
            </w:r>
          </w:p>
        </w:tc>
        <w:tc>
          <w:tcPr>
            <w:tcW w:type="dxa" w:w="1600"/>
          </w:tcPr>
          <w:p>
            <w:r/>
            <w:r>
              <w:rPr>
                <w:rFonts w:ascii="Arial" w:hAnsi="Arial"/>
                <w:b w:val="0"/>
                <w:i w:val="0"/>
                <w:sz w:val="18"/>
              </w:rPr>
              <w:t>+50 bps</w:t>
            </w:r>
          </w:p>
        </w:tc>
      </w:tr>
      <w:tr>
        <w:tc>
          <w:tcPr>
            <w:tcW w:type="dxa" w:w="3800"/>
            <w:shd w:val="clear" w:fill="F2F2F2"/>
          </w:tcPr>
          <w:p>
            <w:r/>
            <w:r>
              <w:rPr>
                <w:rFonts w:ascii="Arial" w:hAnsi="Arial"/>
                <w:b/>
                <w:i w:val="0"/>
                <w:sz w:val="18"/>
              </w:rPr>
              <w:t>Normalised NAV per share (cents)</w:t>
            </w:r>
          </w:p>
        </w:tc>
        <w:tc>
          <w:tcPr>
            <w:tcW w:type="dxa" w:w="1900"/>
            <w:shd w:val="clear" w:fill="FAFAFA"/>
          </w:tcPr>
          <w:p>
            <w:r/>
            <w:r>
              <w:rPr>
                <w:rFonts w:ascii="Arial" w:hAnsi="Arial"/>
                <w:b w:val="0"/>
                <w:i w:val="0"/>
                <w:sz w:val="18"/>
              </w:rPr>
              <w:t>3 884.1</w:t>
            </w:r>
          </w:p>
        </w:tc>
        <w:tc>
          <w:tcPr>
            <w:tcW w:type="dxa" w:w="1900"/>
            <w:shd w:val="clear" w:fill="FAFAFA"/>
          </w:tcPr>
          <w:p>
            <w:r/>
            <w:r>
              <w:rPr>
                <w:rFonts w:ascii="Arial" w:hAnsi="Arial"/>
                <w:b w:val="0"/>
                <w:i w:val="0"/>
                <w:sz w:val="18"/>
              </w:rPr>
              <w:t>3 488.1</w:t>
            </w:r>
          </w:p>
        </w:tc>
        <w:tc>
          <w:tcPr>
            <w:tcW w:type="dxa" w:w="1600"/>
            <w:shd w:val="clear" w:fill="FAFAFA"/>
          </w:tcPr>
          <w:p>
            <w:r/>
            <w:r>
              <w:rPr>
                <w:rFonts w:ascii="Arial" w:hAnsi="Arial"/>
                <w:b w:val="0"/>
                <w:i w:val="0"/>
                <w:sz w:val="18"/>
              </w:rPr>
              <w:t>+11%</w:t>
            </w:r>
          </w:p>
        </w:tc>
      </w:tr>
    </w:tbl>
    <w:p>
      <w:pPr>
        <w:spacing w:after="40" w:before="0"/>
      </w:pPr>
    </w:p>
    <w:p>
      <w:pPr>
        <w:pStyle w:val="Heading1"/>
      </w:pPr>
      <w:r>
        <w:t>4. Scenario design — what separates Bull, Neutral and Bear</w:t>
      </w:r>
    </w:p>
    <w:p>
      <w:pPr>
        <w:spacing w:after="160" w:before="0"/>
      </w:pPr>
      <w:r>
        <w:rPr>
          <w:rFonts w:ascii="Arial" w:hAnsi="Arial"/>
          <w:b/>
          <w:i w:val="0"/>
          <w:sz w:val="21"/>
        </w:rPr>
        <w:t xml:space="preserve">The Neutral case follows management's own FY2026 guidance; Bull and Bear flex the macro and the credit / NIR drivers around it. </w:t>
      </w:r>
      <w:r>
        <w:rPr>
          <w:rFonts w:ascii="Arial" w:hAnsi="Arial"/>
          <w:b w:val="0"/>
          <w:i w:val="0"/>
          <w:sz w:val="21"/>
        </w:rPr>
        <w:t>Current macro context (mid-June 2026): SARB repo 7.0% after a +25bps hike on 28 May 2026; CPI 4.0% (April 2026); SARB 2026 forecasts — inflation 4.4%, GDP 1.2% — with the quarterly model implying the repo easing back to ~6.31% by end-2026. Higher-for-longer rates are a double-edged sword for a bank: supportive of endowment NII, but a drag on affordability and credit.</w:t>
      </w:r>
    </w:p>
    <w:p>
      <w:pPr>
        <w:pStyle w:val="ListBullet"/>
        <w:spacing w:after="80"/>
      </w:pPr>
      <w:r>
        <w:rPr>
          <w:rFonts w:ascii="Arial" w:hAnsi="Arial"/>
          <w:b/>
          <w:i w:val="0"/>
          <w:sz w:val="21"/>
        </w:rPr>
        <w:t xml:space="preserve">Bull — </w:t>
      </w:r>
      <w:r>
        <w:rPr>
          <w:rFonts w:ascii="Arial" w:hAnsi="Arial"/>
          <w:b w:val="0"/>
          <w:i w:val="0"/>
          <w:sz w:val="21"/>
        </w:rPr>
        <w:t>reform momentum accelerates, GDP beats the 1.2% forecast, inflation stays anchored and the SARB resumes cutting into FY2027; retail and UK credit demand stays strong, CLR holds at the bottom of the through-the-cycle range, NIR compounds in the mid-teens, and HSBC SA completes cleanly and starts contributing. Earnings growth runs ahead of guidance.</w:t>
      </w:r>
    </w:p>
    <w:p>
      <w:pPr>
        <w:pStyle w:val="ListBullet"/>
        <w:spacing w:after="80"/>
      </w:pPr>
      <w:r>
        <w:rPr>
          <w:rFonts w:ascii="Arial" w:hAnsi="Arial"/>
          <w:b/>
          <w:i w:val="0"/>
          <w:sz w:val="21"/>
        </w:rPr>
        <w:t xml:space="preserve">Neutral (base) — </w:t>
      </w:r>
      <w:r>
        <w:rPr>
          <w:rFonts w:ascii="Arial" w:hAnsi="Arial"/>
          <w:b w:val="0"/>
          <w:i w:val="0"/>
          <w:sz w:val="21"/>
        </w:rPr>
        <w:t>management guidance is met: NII mid-to-high single digits, NIR low-to-mid teens, costs around inflation, CLR at the bottom of the range, normalised earnings growth in the high mid-teens in FY2026 and normalising toward the group's nominal-GDP-plus target thereafter; ROE near the upper end of 18–22%.</w:t>
      </w:r>
    </w:p>
    <w:p>
      <w:pPr>
        <w:pStyle w:val="ListBullet"/>
        <w:spacing w:after="80"/>
      </w:pPr>
      <w:r>
        <w:rPr>
          <w:rFonts w:ascii="Arial" w:hAnsi="Arial"/>
          <w:b/>
          <w:i w:val="0"/>
          <w:sz w:val="21"/>
        </w:rPr>
        <w:t xml:space="preserve">Bear — </w:t>
      </w:r>
      <w:r>
        <w:rPr>
          <w:rFonts w:ascii="Arial" w:hAnsi="Arial"/>
          <w:b w:val="0"/>
          <w:i w:val="0"/>
          <w:sz w:val="21"/>
        </w:rPr>
        <w:t>the Middle East / global shock persists, rates stay higher for longer, GDP undershoots, household affordability deteriorates and the CLR rises through the cycle; UK consumer weakness bites, NIR slows and HSBC integration is delayed or costly. Earnings still grow — a high-ROE balance sheet compounds — but well below guidance.</w:t>
      </w:r>
    </w:p>
    <w:p>
      <w:pPr>
        <w:pStyle w:val="Heading1"/>
      </w:pPr>
      <w:r>
        <w:t>5. Projected performance — FY2026 (year to 30 June 2026)</w:t>
      </w:r>
    </w:p>
    <w:p>
      <w:pPr>
        <w:spacing w:after="120" w:before="0"/>
      </w:pPr>
      <w:r>
        <w:rPr>
          <w:rFonts w:ascii="Arial" w:hAnsi="Arial"/>
          <w:b w:val="0"/>
          <w:i w:val="0"/>
          <w:sz w:val="21"/>
        </w:rPr>
        <w:t>All figures analyst estimates (e), grown off the FY2025 sacred base in Section 3. Dividend per share assumes cover at the bottom of the board range (~1.6x) in Bull/Neutral and a more conservative ~1.7x in Bear.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00"/>
            <w:shd w:val="clear" w:fill="1F3864"/>
          </w:tcPr>
          <w:p>
            <w:r/>
            <w:r>
              <w:rPr>
                <w:rFonts w:ascii="Arial" w:hAnsi="Arial"/>
                <w:b/>
                <w:i w:val="0"/>
                <w:color w:val="FFFFFF"/>
                <w:sz w:val="18"/>
              </w:rPr>
              <w:t>Metric (FY2026e)</w:t>
            </w:r>
          </w:p>
        </w:tc>
        <w:tc>
          <w:tcPr>
            <w:tcW w:type="dxa" w:w="1900"/>
            <w:shd w:val="clear" w:fill="375623"/>
          </w:tcPr>
          <w:p>
            <w:r/>
            <w:r>
              <w:rPr>
                <w:rFonts w:ascii="Arial" w:hAnsi="Arial"/>
                <w:b/>
                <w:i w:val="0"/>
                <w:color w:val="FFFFFF"/>
                <w:sz w:val="18"/>
              </w:rPr>
              <w:t>Bull</w:t>
            </w:r>
          </w:p>
        </w:tc>
        <w:tc>
          <w:tcPr>
            <w:tcW w:type="dxa" w:w="1900"/>
            <w:shd w:val="clear" w:fill="808080"/>
          </w:tcPr>
          <w:p>
            <w:r/>
            <w:r>
              <w:rPr>
                <w:rFonts w:ascii="Arial" w:hAnsi="Arial"/>
                <w:b/>
                <w:i w:val="0"/>
                <w:color w:val="FFFFFF"/>
                <w:sz w:val="18"/>
              </w:rPr>
              <w:t>Neutral</w:t>
            </w:r>
          </w:p>
        </w:tc>
        <w:tc>
          <w:tcPr>
            <w:tcW w:type="dxa" w:w="2000"/>
            <w:shd w:val="clear" w:fill="C00000"/>
          </w:tcPr>
          <w:p>
            <w:r/>
            <w:r>
              <w:rPr>
                <w:rFonts w:ascii="Arial" w:hAnsi="Arial"/>
                <w:b/>
                <w:i w:val="0"/>
                <w:color w:val="FFFFFF"/>
                <w:sz w:val="18"/>
              </w:rPr>
              <w:t>Bear</w:t>
            </w:r>
          </w:p>
        </w:tc>
      </w:tr>
      <w:tr>
        <w:tc>
          <w:tcPr>
            <w:tcW w:type="dxa" w:w="3400"/>
            <w:shd w:val="clear" w:fill="F2F2F2"/>
          </w:tcPr>
          <w:p>
            <w:r/>
            <w:r>
              <w:rPr>
                <w:rFonts w:ascii="Arial" w:hAnsi="Arial"/>
                <w:b/>
                <w:i w:val="0"/>
                <w:sz w:val="18"/>
              </w:rPr>
              <w:t>Normalised earnings growth</w:t>
            </w:r>
          </w:p>
        </w:tc>
        <w:tc>
          <w:tcPr>
            <w:tcW w:type="dxa" w:w="1900"/>
          </w:tcPr>
          <w:p>
            <w:r/>
            <w:r>
              <w:rPr>
                <w:rFonts w:ascii="Arial" w:hAnsi="Arial"/>
                <w:b w:val="0"/>
                <w:i w:val="0"/>
                <w:sz w:val="18"/>
              </w:rPr>
              <w:t>+19% (e)</w:t>
            </w:r>
          </w:p>
        </w:tc>
        <w:tc>
          <w:tcPr>
            <w:tcW w:type="dxa" w:w="1900"/>
          </w:tcPr>
          <w:p>
            <w:r/>
            <w:r>
              <w:rPr>
                <w:rFonts w:ascii="Arial" w:hAnsi="Arial"/>
                <w:b w:val="0"/>
                <w:i w:val="0"/>
                <w:sz w:val="18"/>
              </w:rPr>
              <w:t>+15% (e)</w:t>
            </w:r>
          </w:p>
        </w:tc>
        <w:tc>
          <w:tcPr>
            <w:tcW w:type="dxa" w:w="2000"/>
          </w:tcPr>
          <w:p>
            <w:r/>
            <w:r>
              <w:rPr>
                <w:rFonts w:ascii="Arial" w:hAnsi="Arial"/>
                <w:b w:val="0"/>
                <w:i w:val="0"/>
                <w:sz w:val="18"/>
              </w:rPr>
              <w:t>+9% (e)</w:t>
            </w:r>
          </w:p>
        </w:tc>
      </w:tr>
      <w:tr>
        <w:tc>
          <w:tcPr>
            <w:tcW w:type="dxa" w:w="3400"/>
            <w:shd w:val="clear" w:fill="F2F2F2"/>
          </w:tcPr>
          <w:p>
            <w:r/>
            <w:r>
              <w:rPr>
                <w:rFonts w:ascii="Arial" w:hAnsi="Arial"/>
                <w:b/>
                <w:i w:val="0"/>
                <w:sz w:val="18"/>
              </w:rPr>
              <w:t>Normalised earnings (R'm)</w:t>
            </w:r>
          </w:p>
        </w:tc>
        <w:tc>
          <w:tcPr>
            <w:tcW w:type="dxa" w:w="1900"/>
            <w:shd w:val="clear" w:fill="FAFAFA"/>
          </w:tcPr>
          <w:p>
            <w:r/>
            <w:r>
              <w:rPr>
                <w:rFonts w:ascii="Arial" w:hAnsi="Arial"/>
                <w:b w:val="0"/>
                <w:i w:val="0"/>
                <w:sz w:val="18"/>
              </w:rPr>
              <w:t>49 771 (e)</w:t>
            </w:r>
          </w:p>
        </w:tc>
        <w:tc>
          <w:tcPr>
            <w:tcW w:type="dxa" w:w="1900"/>
            <w:shd w:val="clear" w:fill="FAFAFA"/>
          </w:tcPr>
          <w:p>
            <w:r/>
            <w:r>
              <w:rPr>
                <w:rFonts w:ascii="Arial" w:hAnsi="Arial"/>
                <w:b w:val="0"/>
                <w:i w:val="0"/>
                <w:sz w:val="18"/>
              </w:rPr>
              <w:t>48 098 (e)</w:t>
            </w:r>
          </w:p>
        </w:tc>
        <w:tc>
          <w:tcPr>
            <w:tcW w:type="dxa" w:w="2000"/>
            <w:shd w:val="clear" w:fill="FAFAFA"/>
          </w:tcPr>
          <w:p>
            <w:r/>
            <w:r>
              <w:rPr>
                <w:rFonts w:ascii="Arial" w:hAnsi="Arial"/>
                <w:b w:val="0"/>
                <w:i w:val="0"/>
                <w:sz w:val="18"/>
              </w:rPr>
              <w:t>45 588 (e)</w:t>
            </w:r>
          </w:p>
        </w:tc>
      </w:tr>
      <w:tr>
        <w:tc>
          <w:tcPr>
            <w:tcW w:type="dxa" w:w="3400"/>
            <w:shd w:val="clear" w:fill="F2F2F2"/>
          </w:tcPr>
          <w:p>
            <w:r/>
            <w:r>
              <w:rPr>
                <w:rFonts w:ascii="Arial" w:hAnsi="Arial"/>
                <w:b/>
                <w:i w:val="0"/>
                <w:sz w:val="18"/>
              </w:rPr>
              <w:t>HEPS (cents)</w:t>
            </w:r>
          </w:p>
        </w:tc>
        <w:tc>
          <w:tcPr>
            <w:tcW w:type="dxa" w:w="1900"/>
          </w:tcPr>
          <w:p>
            <w:r/>
            <w:r>
              <w:rPr>
                <w:rFonts w:ascii="Arial" w:hAnsi="Arial"/>
                <w:b w:val="0"/>
                <w:i w:val="0"/>
                <w:sz w:val="18"/>
              </w:rPr>
              <w:t>891 (e)</w:t>
            </w:r>
          </w:p>
        </w:tc>
        <w:tc>
          <w:tcPr>
            <w:tcW w:type="dxa" w:w="1900"/>
          </w:tcPr>
          <w:p>
            <w:r/>
            <w:r>
              <w:rPr>
                <w:rFonts w:ascii="Arial" w:hAnsi="Arial"/>
                <w:b w:val="0"/>
                <w:i w:val="0"/>
                <w:sz w:val="18"/>
              </w:rPr>
              <w:t>861 (e)</w:t>
            </w:r>
          </w:p>
        </w:tc>
        <w:tc>
          <w:tcPr>
            <w:tcW w:type="dxa" w:w="2000"/>
          </w:tcPr>
          <w:p>
            <w:r/>
            <w:r>
              <w:rPr>
                <w:rFonts w:ascii="Arial" w:hAnsi="Arial"/>
                <w:b w:val="0"/>
                <w:i w:val="0"/>
                <w:sz w:val="18"/>
              </w:rPr>
              <w:t>816 (e)</w:t>
            </w:r>
          </w:p>
        </w:tc>
      </w:tr>
      <w:tr>
        <w:tc>
          <w:tcPr>
            <w:tcW w:type="dxa" w:w="3400"/>
            <w:shd w:val="clear" w:fill="F2F2F2"/>
          </w:tcPr>
          <w:p>
            <w:r/>
            <w:r>
              <w:rPr>
                <w:rFonts w:ascii="Arial" w:hAnsi="Arial"/>
                <w:b/>
                <w:i w:val="0"/>
                <w:sz w:val="18"/>
              </w:rPr>
              <w:t>Normalised ROE (%)</w:t>
            </w:r>
          </w:p>
        </w:tc>
        <w:tc>
          <w:tcPr>
            <w:tcW w:type="dxa" w:w="1900"/>
            <w:shd w:val="clear" w:fill="FAFAFA"/>
          </w:tcPr>
          <w:p>
            <w:r/>
            <w:r>
              <w:rPr>
                <w:rFonts w:ascii="Arial" w:hAnsi="Arial"/>
                <w:b w:val="0"/>
                <w:i w:val="0"/>
                <w:sz w:val="18"/>
              </w:rPr>
              <w:t>21.5 (e)</w:t>
            </w:r>
          </w:p>
        </w:tc>
        <w:tc>
          <w:tcPr>
            <w:tcW w:type="dxa" w:w="1900"/>
            <w:shd w:val="clear" w:fill="FAFAFA"/>
          </w:tcPr>
          <w:p>
            <w:r/>
            <w:r>
              <w:rPr>
                <w:rFonts w:ascii="Arial" w:hAnsi="Arial"/>
                <w:b w:val="0"/>
                <w:i w:val="0"/>
                <w:sz w:val="18"/>
              </w:rPr>
              <w:t>20.8 (e)</w:t>
            </w:r>
          </w:p>
        </w:tc>
        <w:tc>
          <w:tcPr>
            <w:tcW w:type="dxa" w:w="2000"/>
            <w:shd w:val="clear" w:fill="FAFAFA"/>
          </w:tcPr>
          <w:p>
            <w:r/>
            <w:r>
              <w:rPr>
                <w:rFonts w:ascii="Arial" w:hAnsi="Arial"/>
                <w:b w:val="0"/>
                <w:i w:val="0"/>
                <w:sz w:val="18"/>
              </w:rPr>
              <w:t>19.3 (e)</w:t>
            </w:r>
          </w:p>
        </w:tc>
      </w:tr>
      <w:tr>
        <w:tc>
          <w:tcPr>
            <w:tcW w:type="dxa" w:w="3400"/>
            <w:shd w:val="clear" w:fill="F2F2F2"/>
          </w:tcPr>
          <w:p>
            <w:r/>
            <w:r>
              <w:rPr>
                <w:rFonts w:ascii="Arial" w:hAnsi="Arial"/>
                <w:b/>
                <w:i w:val="0"/>
                <w:sz w:val="18"/>
              </w:rPr>
              <w:t>Dividend per share (cents)</w:t>
            </w:r>
          </w:p>
        </w:tc>
        <w:tc>
          <w:tcPr>
            <w:tcW w:type="dxa" w:w="1900"/>
          </w:tcPr>
          <w:p>
            <w:r/>
            <w:r>
              <w:rPr>
                <w:rFonts w:ascii="Arial" w:hAnsi="Arial"/>
                <w:b w:val="0"/>
                <w:i w:val="0"/>
                <w:sz w:val="18"/>
              </w:rPr>
              <w:t>557 (e)</w:t>
            </w:r>
          </w:p>
        </w:tc>
        <w:tc>
          <w:tcPr>
            <w:tcW w:type="dxa" w:w="1900"/>
          </w:tcPr>
          <w:p>
            <w:r/>
            <w:r>
              <w:rPr>
                <w:rFonts w:ascii="Arial" w:hAnsi="Arial"/>
                <w:b w:val="0"/>
                <w:i w:val="0"/>
                <w:sz w:val="18"/>
              </w:rPr>
              <w:t>538 (e)</w:t>
            </w:r>
          </w:p>
        </w:tc>
        <w:tc>
          <w:tcPr>
            <w:tcW w:type="dxa" w:w="2000"/>
          </w:tcPr>
          <w:p>
            <w:r/>
            <w:r>
              <w:rPr>
                <w:rFonts w:ascii="Arial" w:hAnsi="Arial"/>
                <w:b w:val="0"/>
                <w:i w:val="0"/>
                <w:sz w:val="18"/>
              </w:rPr>
              <w:t>480 (e)</w:t>
            </w:r>
          </w:p>
        </w:tc>
      </w:tr>
      <w:tr>
        <w:tc>
          <w:tcPr>
            <w:tcW w:type="dxa" w:w="3400"/>
            <w:shd w:val="clear" w:fill="F2F2F2"/>
          </w:tcPr>
          <w:p>
            <w:r/>
            <w:r>
              <w:rPr>
                <w:rFonts w:ascii="Arial" w:hAnsi="Arial"/>
                <w:b/>
                <w:i w:val="0"/>
                <w:sz w:val="18"/>
              </w:rPr>
              <w:t>NII growth</w:t>
            </w:r>
          </w:p>
        </w:tc>
        <w:tc>
          <w:tcPr>
            <w:tcW w:type="dxa" w:w="1900"/>
            <w:shd w:val="clear" w:fill="FAFAFA"/>
          </w:tcPr>
          <w:p>
            <w:r/>
            <w:r>
              <w:rPr>
                <w:rFonts w:ascii="Arial" w:hAnsi="Arial"/>
                <w:b w:val="0"/>
                <w:i w:val="0"/>
                <w:sz w:val="18"/>
              </w:rPr>
              <w:t>high single digit (e)</w:t>
            </w:r>
          </w:p>
        </w:tc>
        <w:tc>
          <w:tcPr>
            <w:tcW w:type="dxa" w:w="1900"/>
            <w:shd w:val="clear" w:fill="FAFAFA"/>
          </w:tcPr>
          <w:p>
            <w:r/>
            <w:r>
              <w:rPr>
                <w:rFonts w:ascii="Arial" w:hAnsi="Arial"/>
                <w:b w:val="0"/>
                <w:i w:val="0"/>
                <w:sz w:val="18"/>
              </w:rPr>
              <w:t>mid-to-high single digit (e)</w:t>
            </w:r>
          </w:p>
        </w:tc>
        <w:tc>
          <w:tcPr>
            <w:tcW w:type="dxa" w:w="2000"/>
            <w:shd w:val="clear" w:fill="FAFAFA"/>
          </w:tcPr>
          <w:p>
            <w:r/>
            <w:r>
              <w:rPr>
                <w:rFonts w:ascii="Arial" w:hAnsi="Arial"/>
                <w:b w:val="0"/>
                <w:i w:val="0"/>
                <w:sz w:val="18"/>
              </w:rPr>
              <w:t>mid single digit (e)</w:t>
            </w:r>
          </w:p>
        </w:tc>
      </w:tr>
      <w:tr>
        <w:tc>
          <w:tcPr>
            <w:tcW w:type="dxa" w:w="3400"/>
            <w:shd w:val="clear" w:fill="F2F2F2"/>
          </w:tcPr>
          <w:p>
            <w:r/>
            <w:r>
              <w:rPr>
                <w:rFonts w:ascii="Arial" w:hAnsi="Arial"/>
                <w:b/>
                <w:i w:val="0"/>
                <w:sz w:val="18"/>
              </w:rPr>
              <w:t>NIR growth</w:t>
            </w:r>
          </w:p>
        </w:tc>
        <w:tc>
          <w:tcPr>
            <w:tcW w:type="dxa" w:w="1900"/>
          </w:tcPr>
          <w:p>
            <w:r/>
            <w:r>
              <w:rPr>
                <w:rFonts w:ascii="Arial" w:hAnsi="Arial"/>
                <w:b w:val="0"/>
                <w:i w:val="0"/>
                <w:sz w:val="18"/>
              </w:rPr>
              <w:t>mid-teens (e)</w:t>
            </w:r>
          </w:p>
        </w:tc>
        <w:tc>
          <w:tcPr>
            <w:tcW w:type="dxa" w:w="1900"/>
          </w:tcPr>
          <w:p>
            <w:r/>
            <w:r>
              <w:rPr>
                <w:rFonts w:ascii="Arial" w:hAnsi="Arial"/>
                <w:b w:val="0"/>
                <w:i w:val="0"/>
                <w:sz w:val="18"/>
              </w:rPr>
              <w:t>low-to-mid teens (e)</w:t>
            </w:r>
          </w:p>
        </w:tc>
        <w:tc>
          <w:tcPr>
            <w:tcW w:type="dxa" w:w="2000"/>
          </w:tcPr>
          <w:p>
            <w:r/>
            <w:r>
              <w:rPr>
                <w:rFonts w:ascii="Arial" w:hAnsi="Arial"/>
                <w:b w:val="0"/>
                <w:i w:val="0"/>
                <w:sz w:val="18"/>
              </w:rPr>
              <w:t>high single digit (e)</w:t>
            </w:r>
          </w:p>
        </w:tc>
      </w:tr>
      <w:tr>
        <w:tc>
          <w:tcPr>
            <w:tcW w:type="dxa" w:w="3400"/>
            <w:shd w:val="clear" w:fill="F2F2F2"/>
          </w:tcPr>
          <w:p>
            <w:r/>
            <w:r>
              <w:rPr>
                <w:rFonts w:ascii="Arial" w:hAnsi="Arial"/>
                <w:b/>
                <w:i w:val="0"/>
                <w:sz w:val="18"/>
              </w:rPr>
              <w:t>Credit loss ratio (%)</w:t>
            </w:r>
          </w:p>
        </w:tc>
        <w:tc>
          <w:tcPr>
            <w:tcW w:type="dxa" w:w="1900"/>
            <w:shd w:val="clear" w:fill="FAFAFA"/>
          </w:tcPr>
          <w:p>
            <w:r/>
            <w:r>
              <w:rPr>
                <w:rFonts w:ascii="Arial" w:hAnsi="Arial"/>
                <w:b w:val="0"/>
                <w:i w:val="0"/>
                <w:sz w:val="18"/>
              </w:rPr>
              <w:t>~0.85 (e)</w:t>
            </w:r>
          </w:p>
        </w:tc>
        <w:tc>
          <w:tcPr>
            <w:tcW w:type="dxa" w:w="1900"/>
            <w:shd w:val="clear" w:fill="FAFAFA"/>
          </w:tcPr>
          <w:p>
            <w:r/>
            <w:r>
              <w:rPr>
                <w:rFonts w:ascii="Arial" w:hAnsi="Arial"/>
                <w:b w:val="0"/>
                <w:i w:val="0"/>
                <w:sz w:val="18"/>
              </w:rPr>
              <w:t>~0.90 (e)</w:t>
            </w:r>
          </w:p>
        </w:tc>
        <w:tc>
          <w:tcPr>
            <w:tcW w:type="dxa" w:w="2000"/>
            <w:shd w:val="clear" w:fill="FAFAFA"/>
          </w:tcPr>
          <w:p>
            <w:r/>
            <w:r>
              <w:rPr>
                <w:rFonts w:ascii="Arial" w:hAnsi="Arial"/>
                <w:b w:val="0"/>
                <w:i w:val="0"/>
                <w:sz w:val="18"/>
              </w:rPr>
              <w:t>~1.05 (e)</w:t>
            </w:r>
          </w:p>
        </w:tc>
      </w:tr>
      <w:tr>
        <w:tc>
          <w:tcPr>
            <w:tcW w:type="dxa" w:w="3400"/>
            <w:shd w:val="clear" w:fill="F2F2F2"/>
          </w:tcPr>
          <w:p>
            <w:r/>
            <w:r>
              <w:rPr>
                <w:rFonts w:ascii="Arial" w:hAnsi="Arial"/>
                <w:b/>
                <w:i w:val="0"/>
                <w:sz w:val="18"/>
              </w:rPr>
              <w:t>Sentiment-implied direction</w:t>
            </w:r>
          </w:p>
        </w:tc>
        <w:tc>
          <w:tcPr>
            <w:tcW w:type="dxa" w:w="1900"/>
          </w:tcPr>
          <w:p>
            <w:r/>
            <w:r>
              <w:rPr>
                <w:rFonts w:ascii="Arial" w:hAnsi="Arial"/>
                <w:b w:val="0"/>
                <w:i w:val="0"/>
                <w:sz w:val="18"/>
              </w:rPr>
              <w:t>Upgrade</w:t>
            </w:r>
          </w:p>
        </w:tc>
        <w:tc>
          <w:tcPr>
            <w:tcW w:type="dxa" w:w="1900"/>
          </w:tcPr>
          <w:p>
            <w:r/>
            <w:r>
              <w:rPr>
                <w:rFonts w:ascii="Arial" w:hAnsi="Arial"/>
                <w:b w:val="0"/>
                <w:i w:val="0"/>
                <w:sz w:val="18"/>
              </w:rPr>
              <w:t>Upgrade</w:t>
            </w:r>
          </w:p>
        </w:tc>
        <w:tc>
          <w:tcPr>
            <w:tcW w:type="dxa" w:w="2000"/>
          </w:tcPr>
          <w:p>
            <w:r/>
            <w:r>
              <w:rPr>
                <w:rFonts w:ascii="Arial" w:hAnsi="Arial"/>
                <w:b w:val="0"/>
                <w:i w:val="0"/>
                <w:sz w:val="18"/>
              </w:rPr>
              <w:t>Mild downgrade vs guidance</w:t>
            </w:r>
          </w:p>
        </w:tc>
      </w:tr>
    </w:tbl>
    <w:p>
      <w:pPr>
        <w:spacing w:after="40" w:before="0"/>
      </w:pPr>
    </w:p>
    <w:p>
      <w:pPr>
        <w:pStyle w:val="Heading1"/>
      </w:pPr>
      <w:r>
        <w:t>6. Projected performance — FY2027 (year to 30 June 2027)</w:t>
      </w:r>
    </w:p>
    <w:p>
      <w:pPr>
        <w:spacing w:after="120" w:before="0"/>
      </w:pPr>
      <w:r>
        <w:rPr>
          <w:rFonts w:ascii="Arial" w:hAnsi="Arial"/>
          <w:b w:val="0"/>
          <w:i w:val="0"/>
          <w:sz w:val="21"/>
        </w:rPr>
        <w:t>All figures analyst estimates (e), grown off the FY2026e column in Section 5. FY2027 growth normalises as the FY2026 motor-commission base effect washes out and HSBC SA contributes a full period in the Bull/Neutral cases.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00"/>
            <w:shd w:val="clear" w:fill="1F3864"/>
          </w:tcPr>
          <w:p>
            <w:r/>
            <w:r>
              <w:rPr>
                <w:rFonts w:ascii="Arial" w:hAnsi="Arial"/>
                <w:b/>
                <w:i w:val="0"/>
                <w:color w:val="FFFFFF"/>
                <w:sz w:val="18"/>
              </w:rPr>
              <w:t>Metric (FY2027e)</w:t>
            </w:r>
          </w:p>
        </w:tc>
        <w:tc>
          <w:tcPr>
            <w:tcW w:type="dxa" w:w="1900"/>
            <w:shd w:val="clear" w:fill="375623"/>
          </w:tcPr>
          <w:p>
            <w:r/>
            <w:r>
              <w:rPr>
                <w:rFonts w:ascii="Arial" w:hAnsi="Arial"/>
                <w:b/>
                <w:i w:val="0"/>
                <w:color w:val="FFFFFF"/>
                <w:sz w:val="18"/>
              </w:rPr>
              <w:t>Bull</w:t>
            </w:r>
          </w:p>
        </w:tc>
        <w:tc>
          <w:tcPr>
            <w:tcW w:type="dxa" w:w="1900"/>
            <w:shd w:val="clear" w:fill="808080"/>
          </w:tcPr>
          <w:p>
            <w:r/>
            <w:r>
              <w:rPr>
                <w:rFonts w:ascii="Arial" w:hAnsi="Arial"/>
                <w:b/>
                <w:i w:val="0"/>
                <w:color w:val="FFFFFF"/>
                <w:sz w:val="18"/>
              </w:rPr>
              <w:t>Neutral</w:t>
            </w:r>
          </w:p>
        </w:tc>
        <w:tc>
          <w:tcPr>
            <w:tcW w:type="dxa" w:w="2000"/>
            <w:shd w:val="clear" w:fill="C00000"/>
          </w:tcPr>
          <w:p>
            <w:r/>
            <w:r>
              <w:rPr>
                <w:rFonts w:ascii="Arial" w:hAnsi="Arial"/>
                <w:b/>
                <w:i w:val="0"/>
                <w:color w:val="FFFFFF"/>
                <w:sz w:val="18"/>
              </w:rPr>
              <w:t>Bear</w:t>
            </w:r>
          </w:p>
        </w:tc>
      </w:tr>
      <w:tr>
        <w:tc>
          <w:tcPr>
            <w:tcW w:type="dxa" w:w="3400"/>
            <w:shd w:val="clear" w:fill="F2F2F2"/>
          </w:tcPr>
          <w:p>
            <w:r/>
            <w:r>
              <w:rPr>
                <w:rFonts w:ascii="Arial" w:hAnsi="Arial"/>
                <w:b/>
                <w:i w:val="0"/>
                <w:sz w:val="18"/>
              </w:rPr>
              <w:t>Normalised earnings growth</w:t>
            </w:r>
          </w:p>
        </w:tc>
        <w:tc>
          <w:tcPr>
            <w:tcW w:type="dxa" w:w="1900"/>
          </w:tcPr>
          <w:p>
            <w:r/>
            <w:r>
              <w:rPr>
                <w:rFonts w:ascii="Arial" w:hAnsi="Arial"/>
                <w:b w:val="0"/>
                <w:i w:val="0"/>
                <w:sz w:val="18"/>
              </w:rPr>
              <w:t>+14% (e)</w:t>
            </w:r>
          </w:p>
        </w:tc>
        <w:tc>
          <w:tcPr>
            <w:tcW w:type="dxa" w:w="1900"/>
          </w:tcPr>
          <w:p>
            <w:r/>
            <w:r>
              <w:rPr>
                <w:rFonts w:ascii="Arial" w:hAnsi="Arial"/>
                <w:b w:val="0"/>
                <w:i w:val="0"/>
                <w:sz w:val="18"/>
              </w:rPr>
              <w:t>+11% (e)</w:t>
            </w:r>
          </w:p>
        </w:tc>
        <w:tc>
          <w:tcPr>
            <w:tcW w:type="dxa" w:w="2000"/>
          </w:tcPr>
          <w:p>
            <w:r/>
            <w:r>
              <w:rPr>
                <w:rFonts w:ascii="Arial" w:hAnsi="Arial"/>
                <w:b w:val="0"/>
                <w:i w:val="0"/>
                <w:sz w:val="18"/>
              </w:rPr>
              <w:t>+4% (e)</w:t>
            </w:r>
          </w:p>
        </w:tc>
      </w:tr>
      <w:tr>
        <w:tc>
          <w:tcPr>
            <w:tcW w:type="dxa" w:w="3400"/>
            <w:shd w:val="clear" w:fill="F2F2F2"/>
          </w:tcPr>
          <w:p>
            <w:r/>
            <w:r>
              <w:rPr>
                <w:rFonts w:ascii="Arial" w:hAnsi="Arial"/>
                <w:b/>
                <w:i w:val="0"/>
                <w:sz w:val="18"/>
              </w:rPr>
              <w:t>Normalised earnings (R'm)</w:t>
            </w:r>
          </w:p>
        </w:tc>
        <w:tc>
          <w:tcPr>
            <w:tcW w:type="dxa" w:w="1900"/>
            <w:shd w:val="clear" w:fill="FAFAFA"/>
          </w:tcPr>
          <w:p>
            <w:r/>
            <w:r>
              <w:rPr>
                <w:rFonts w:ascii="Arial" w:hAnsi="Arial"/>
                <w:b w:val="0"/>
                <w:i w:val="0"/>
                <w:sz w:val="18"/>
              </w:rPr>
              <w:t>56 739 (e)</w:t>
            </w:r>
          </w:p>
        </w:tc>
        <w:tc>
          <w:tcPr>
            <w:tcW w:type="dxa" w:w="1900"/>
            <w:shd w:val="clear" w:fill="FAFAFA"/>
          </w:tcPr>
          <w:p>
            <w:r/>
            <w:r>
              <w:rPr>
                <w:rFonts w:ascii="Arial" w:hAnsi="Arial"/>
                <w:b w:val="0"/>
                <w:i w:val="0"/>
                <w:sz w:val="18"/>
              </w:rPr>
              <w:t>53 389 (e)</w:t>
            </w:r>
          </w:p>
        </w:tc>
        <w:tc>
          <w:tcPr>
            <w:tcW w:type="dxa" w:w="2000"/>
            <w:shd w:val="clear" w:fill="FAFAFA"/>
          </w:tcPr>
          <w:p>
            <w:r/>
            <w:r>
              <w:rPr>
                <w:rFonts w:ascii="Arial" w:hAnsi="Arial"/>
                <w:b w:val="0"/>
                <w:i w:val="0"/>
                <w:sz w:val="18"/>
              </w:rPr>
              <w:t>47 412 (e)</w:t>
            </w:r>
          </w:p>
        </w:tc>
      </w:tr>
      <w:tr>
        <w:tc>
          <w:tcPr>
            <w:tcW w:type="dxa" w:w="3400"/>
            <w:shd w:val="clear" w:fill="F2F2F2"/>
          </w:tcPr>
          <w:p>
            <w:r/>
            <w:r>
              <w:rPr>
                <w:rFonts w:ascii="Arial" w:hAnsi="Arial"/>
                <w:b/>
                <w:i w:val="0"/>
                <w:sz w:val="18"/>
              </w:rPr>
              <w:t>HEPS (cents)</w:t>
            </w:r>
          </w:p>
        </w:tc>
        <w:tc>
          <w:tcPr>
            <w:tcW w:type="dxa" w:w="1900"/>
          </w:tcPr>
          <w:p>
            <w:r/>
            <w:r>
              <w:rPr>
                <w:rFonts w:ascii="Arial" w:hAnsi="Arial"/>
                <w:b w:val="0"/>
                <w:i w:val="0"/>
                <w:sz w:val="18"/>
              </w:rPr>
              <w:t>1 016 (e)</w:t>
            </w:r>
          </w:p>
        </w:tc>
        <w:tc>
          <w:tcPr>
            <w:tcW w:type="dxa" w:w="1900"/>
          </w:tcPr>
          <w:p>
            <w:r/>
            <w:r>
              <w:rPr>
                <w:rFonts w:ascii="Arial" w:hAnsi="Arial"/>
                <w:b w:val="0"/>
                <w:i w:val="0"/>
                <w:sz w:val="18"/>
              </w:rPr>
              <w:t>956 (e)</w:t>
            </w:r>
          </w:p>
        </w:tc>
        <w:tc>
          <w:tcPr>
            <w:tcW w:type="dxa" w:w="2000"/>
          </w:tcPr>
          <w:p>
            <w:r/>
            <w:r>
              <w:rPr>
                <w:rFonts w:ascii="Arial" w:hAnsi="Arial"/>
                <w:b w:val="0"/>
                <w:i w:val="0"/>
                <w:sz w:val="18"/>
              </w:rPr>
              <w:t>849 (e)</w:t>
            </w:r>
          </w:p>
        </w:tc>
      </w:tr>
      <w:tr>
        <w:tc>
          <w:tcPr>
            <w:tcW w:type="dxa" w:w="3400"/>
            <w:shd w:val="clear" w:fill="F2F2F2"/>
          </w:tcPr>
          <w:p>
            <w:r/>
            <w:r>
              <w:rPr>
                <w:rFonts w:ascii="Arial" w:hAnsi="Arial"/>
                <w:b/>
                <w:i w:val="0"/>
                <w:sz w:val="18"/>
              </w:rPr>
              <w:t>Normalised ROE (%)</w:t>
            </w:r>
          </w:p>
        </w:tc>
        <w:tc>
          <w:tcPr>
            <w:tcW w:type="dxa" w:w="1900"/>
            <w:shd w:val="clear" w:fill="FAFAFA"/>
          </w:tcPr>
          <w:p>
            <w:r/>
            <w:r>
              <w:rPr>
                <w:rFonts w:ascii="Arial" w:hAnsi="Arial"/>
                <w:b w:val="0"/>
                <w:i w:val="0"/>
                <w:sz w:val="18"/>
              </w:rPr>
              <w:t>21.8 (e)</w:t>
            </w:r>
          </w:p>
        </w:tc>
        <w:tc>
          <w:tcPr>
            <w:tcW w:type="dxa" w:w="1900"/>
            <w:shd w:val="clear" w:fill="FAFAFA"/>
          </w:tcPr>
          <w:p>
            <w:r/>
            <w:r>
              <w:rPr>
                <w:rFonts w:ascii="Arial" w:hAnsi="Arial"/>
                <w:b w:val="0"/>
                <w:i w:val="0"/>
                <w:sz w:val="18"/>
              </w:rPr>
              <w:t>20.5 (e)</w:t>
            </w:r>
          </w:p>
        </w:tc>
        <w:tc>
          <w:tcPr>
            <w:tcW w:type="dxa" w:w="2000"/>
            <w:shd w:val="clear" w:fill="FAFAFA"/>
          </w:tcPr>
          <w:p>
            <w:r/>
            <w:r>
              <w:rPr>
                <w:rFonts w:ascii="Arial" w:hAnsi="Arial"/>
                <w:b w:val="0"/>
                <w:i w:val="0"/>
                <w:sz w:val="18"/>
              </w:rPr>
              <w:t>18.5 (e)</w:t>
            </w:r>
          </w:p>
        </w:tc>
      </w:tr>
      <w:tr>
        <w:tc>
          <w:tcPr>
            <w:tcW w:type="dxa" w:w="3400"/>
            <w:shd w:val="clear" w:fill="F2F2F2"/>
          </w:tcPr>
          <w:p>
            <w:r/>
            <w:r>
              <w:rPr>
                <w:rFonts w:ascii="Arial" w:hAnsi="Arial"/>
                <w:b/>
                <w:i w:val="0"/>
                <w:sz w:val="18"/>
              </w:rPr>
              <w:t>Dividend per share (cents)</w:t>
            </w:r>
          </w:p>
        </w:tc>
        <w:tc>
          <w:tcPr>
            <w:tcW w:type="dxa" w:w="1900"/>
          </w:tcPr>
          <w:p>
            <w:r/>
            <w:r>
              <w:rPr>
                <w:rFonts w:ascii="Arial" w:hAnsi="Arial"/>
                <w:b w:val="0"/>
                <w:i w:val="0"/>
                <w:sz w:val="18"/>
              </w:rPr>
              <w:t>635 (e)</w:t>
            </w:r>
          </w:p>
        </w:tc>
        <w:tc>
          <w:tcPr>
            <w:tcW w:type="dxa" w:w="1900"/>
          </w:tcPr>
          <w:p>
            <w:r/>
            <w:r>
              <w:rPr>
                <w:rFonts w:ascii="Arial" w:hAnsi="Arial"/>
                <w:b w:val="0"/>
                <w:i w:val="0"/>
                <w:sz w:val="18"/>
              </w:rPr>
              <w:t>598 (e)</w:t>
            </w:r>
          </w:p>
        </w:tc>
        <w:tc>
          <w:tcPr>
            <w:tcW w:type="dxa" w:w="2000"/>
          </w:tcPr>
          <w:p>
            <w:r/>
            <w:r>
              <w:rPr>
                <w:rFonts w:ascii="Arial" w:hAnsi="Arial"/>
                <w:b w:val="0"/>
                <w:i w:val="0"/>
                <w:sz w:val="18"/>
              </w:rPr>
              <w:t>499 (e)</w:t>
            </w:r>
          </w:p>
        </w:tc>
      </w:tr>
      <w:tr>
        <w:tc>
          <w:tcPr>
            <w:tcW w:type="dxa" w:w="3400"/>
            <w:shd w:val="clear" w:fill="F2F2F2"/>
          </w:tcPr>
          <w:p>
            <w:r/>
            <w:r>
              <w:rPr>
                <w:rFonts w:ascii="Arial" w:hAnsi="Arial"/>
                <w:b/>
                <w:i w:val="0"/>
                <w:sz w:val="18"/>
              </w:rPr>
              <w:t>Credit loss ratio (%)</w:t>
            </w:r>
          </w:p>
        </w:tc>
        <w:tc>
          <w:tcPr>
            <w:tcW w:type="dxa" w:w="1900"/>
            <w:shd w:val="clear" w:fill="FAFAFA"/>
          </w:tcPr>
          <w:p>
            <w:r/>
            <w:r>
              <w:rPr>
                <w:rFonts w:ascii="Arial" w:hAnsi="Arial"/>
                <w:b w:val="0"/>
                <w:i w:val="0"/>
                <w:sz w:val="18"/>
              </w:rPr>
              <w:t>~0.80 (e)</w:t>
            </w:r>
          </w:p>
        </w:tc>
        <w:tc>
          <w:tcPr>
            <w:tcW w:type="dxa" w:w="1900"/>
            <w:shd w:val="clear" w:fill="FAFAFA"/>
          </w:tcPr>
          <w:p>
            <w:r/>
            <w:r>
              <w:rPr>
                <w:rFonts w:ascii="Arial" w:hAnsi="Arial"/>
                <w:b w:val="0"/>
                <w:i w:val="0"/>
                <w:sz w:val="18"/>
              </w:rPr>
              <w:t>~0.90 (e)</w:t>
            </w:r>
          </w:p>
        </w:tc>
        <w:tc>
          <w:tcPr>
            <w:tcW w:type="dxa" w:w="2000"/>
            <w:shd w:val="clear" w:fill="FAFAFA"/>
          </w:tcPr>
          <w:p>
            <w:r/>
            <w:r>
              <w:rPr>
                <w:rFonts w:ascii="Arial" w:hAnsi="Arial"/>
                <w:b w:val="0"/>
                <w:i w:val="0"/>
                <w:sz w:val="18"/>
              </w:rPr>
              <w:t>~1.15 (e)</w:t>
            </w:r>
          </w:p>
        </w:tc>
      </w:tr>
      <w:tr>
        <w:tc>
          <w:tcPr>
            <w:tcW w:type="dxa" w:w="3400"/>
            <w:shd w:val="clear" w:fill="F2F2F2"/>
          </w:tcPr>
          <w:p>
            <w:r/>
            <w:r>
              <w:rPr>
                <w:rFonts w:ascii="Arial" w:hAnsi="Arial"/>
                <w:b/>
                <w:i w:val="0"/>
                <w:sz w:val="18"/>
              </w:rPr>
              <w:t>Sentiment-implied direction</w:t>
            </w:r>
          </w:p>
        </w:tc>
        <w:tc>
          <w:tcPr>
            <w:tcW w:type="dxa" w:w="1900"/>
          </w:tcPr>
          <w:p>
            <w:r/>
            <w:r>
              <w:rPr>
                <w:rFonts w:ascii="Arial" w:hAnsi="Arial"/>
                <w:b w:val="0"/>
                <w:i w:val="0"/>
                <w:sz w:val="18"/>
              </w:rPr>
              <w:t>Upgrade</w:t>
            </w:r>
          </w:p>
        </w:tc>
        <w:tc>
          <w:tcPr>
            <w:tcW w:type="dxa" w:w="1900"/>
          </w:tcPr>
          <w:p>
            <w:r/>
            <w:r>
              <w:rPr>
                <w:rFonts w:ascii="Arial" w:hAnsi="Arial"/>
                <w:b w:val="0"/>
                <w:i w:val="0"/>
                <w:sz w:val="18"/>
              </w:rPr>
              <w:t>On guidance</w:t>
            </w:r>
          </w:p>
        </w:tc>
        <w:tc>
          <w:tcPr>
            <w:tcW w:type="dxa" w:w="2000"/>
          </w:tcPr>
          <w:p>
            <w:r/>
            <w:r>
              <w:rPr>
                <w:rFonts w:ascii="Arial" w:hAnsi="Arial"/>
                <w:b w:val="0"/>
                <w:i w:val="0"/>
                <w:sz w:val="18"/>
              </w:rPr>
              <w:t>Downgrade</w:t>
            </w:r>
          </w:p>
        </w:tc>
      </w:tr>
    </w:tbl>
    <w:p>
      <w:pPr>
        <w:spacing w:after="40" w:before="0"/>
      </w:pPr>
    </w:p>
    <w:p>
      <w:pPr>
        <w:pStyle w:val="Heading1"/>
      </w:pPr>
      <w:r>
        <w:t>7. Market-share read</w:t>
      </w:r>
    </w:p>
    <w:p>
      <w:pPr>
        <w:spacing w:after="160" w:before="0"/>
      </w:pPr>
      <w:r>
        <w:rPr>
          <w:rFonts w:ascii="Arial" w:hAnsi="Arial"/>
          <w:b/>
          <w:i w:val="0"/>
          <w:sz w:val="21"/>
        </w:rPr>
        <w:t xml:space="preserve">The market-share signal is the most unambiguous positive in the commentary. </w:t>
      </w:r>
      <w:r>
        <w:rPr>
          <w:rFonts w:ascii="Arial" w:hAnsi="Arial"/>
          <w:b w:val="0"/>
          <w:i w:val="0"/>
          <w:sz w:val="21"/>
        </w:rPr>
        <w:t>Management states the franchises “remain well positioned to capture a higher share of any additional growth opportunities that emerge”, expects SA retail advances growth to exceed the prior year, and corporate advances to “show higher growth… including the impact of the distribution strategy, with improving margins”. The HSBC South Africa transaction — transferring HSBC's corporate and multinational portfolio to RMB — is an outright share gain in the corporate/multinational segment, expected to complete in FY2026. In Bull/Neutral this compounds FNB's already-large transactional franchise; only in the Bear case (delayed HSBC completion, defensive risk-tightening into a weak macro) would share gains stall.</w:t>
      </w:r>
    </w:p>
    <w:p>
      <w:pPr>
        <w:pStyle w:val="Heading1"/>
      </w:pPr>
      <w:r>
        <w:t>8. Risk flags &amp; what would change the call</w:t>
      </w:r>
    </w:p>
    <w:p>
      <w:pPr>
        <w:pStyle w:val="ListBullet"/>
        <w:spacing w:after="80"/>
      </w:pPr>
      <w:r>
        <w:rPr>
          <w:rFonts w:ascii="Arial" w:hAnsi="Arial"/>
          <w:b/>
          <w:i w:val="0"/>
          <w:sz w:val="21"/>
        </w:rPr>
        <w:t xml:space="preserve">Rates higher-for-longer. </w:t>
      </w:r>
      <w:r>
        <w:rPr>
          <w:rFonts w:ascii="Arial" w:hAnsi="Arial"/>
          <w:b w:val="0"/>
          <w:i w:val="0"/>
          <w:sz w:val="21"/>
        </w:rPr>
        <w:t>The 28 May 2026 repo hike to 7.0% reverses the rate-cut assumption embedded in the FY2025 guidance. Endowment-positive for NII, but the affordability/credit hit is the main Neutral-to-Bear swing.</w:t>
      </w:r>
    </w:p>
    <w:p>
      <w:pPr>
        <w:pStyle w:val="ListBullet"/>
        <w:spacing w:after="80"/>
      </w:pPr>
      <w:r>
        <w:rPr>
          <w:rFonts w:ascii="Arial" w:hAnsi="Arial"/>
          <w:b/>
          <w:i w:val="0"/>
          <w:sz w:val="21"/>
        </w:rPr>
        <w:t xml:space="preserve">UK consumer &amp; motor-commission tail. </w:t>
      </w:r>
      <w:r>
        <w:rPr>
          <w:rFonts w:ascii="Arial" w:hAnsi="Arial"/>
          <w:b w:val="0"/>
          <w:i w:val="0"/>
          <w:sz w:val="21"/>
        </w:rPr>
        <w:t>Management calls the UK macro “challenging”; the UK Supreme Court motor-commission judgment (1 Aug 2025) was treated as an adjusting post-balance-sheet event — monitor for any further provisioning or FCA redress-scheme cost.</w:t>
      </w:r>
    </w:p>
    <w:p>
      <w:pPr>
        <w:pStyle w:val="ListBullet"/>
        <w:spacing w:after="80"/>
      </w:pPr>
      <w:r>
        <w:rPr>
          <w:rFonts w:ascii="Arial" w:hAnsi="Arial"/>
          <w:b/>
          <w:i w:val="0"/>
          <w:sz w:val="21"/>
        </w:rPr>
        <w:t xml:space="preserve">HSBC SA execution. </w:t>
      </w:r>
      <w:r>
        <w:rPr>
          <w:rFonts w:ascii="Arial" w:hAnsi="Arial"/>
          <w:b w:val="0"/>
          <w:i w:val="0"/>
          <w:sz w:val="21"/>
        </w:rPr>
        <w:t>“Migration process complexity may affect the completion date.” A slip pushes the NII/NIR benefit and the corporate share gain into FY2027+.</w:t>
      </w:r>
    </w:p>
    <w:p>
      <w:pPr>
        <w:pStyle w:val="ListBullet"/>
        <w:spacing w:after="80"/>
      </w:pPr>
      <w:r>
        <w:rPr>
          <w:rFonts w:ascii="Arial" w:hAnsi="Arial"/>
          <w:b/>
          <w:i w:val="0"/>
          <w:sz w:val="21"/>
        </w:rPr>
        <w:t xml:space="preserve">Cost creep. </w:t>
      </w:r>
      <w:r>
        <w:rPr>
          <w:rFonts w:ascii="Arial" w:hAnsi="Arial"/>
          <w:b w:val="0"/>
          <w:i w:val="0"/>
          <w:sz w:val="21"/>
        </w:rPr>
        <w:t>Ex the base effect, costs are guided +2–3% above inflation and will “offset any early revenue benefits” — watch the cost-to-income ratio if revenue disappoints.</w:t>
      </w:r>
    </w:p>
    <w:p>
      <w:pPr>
        <w:pStyle w:val="ListBullet"/>
        <w:spacing w:after="80"/>
      </w:pPr>
      <w:r>
        <w:rPr>
          <w:rFonts w:ascii="Arial" w:hAnsi="Arial"/>
          <w:b/>
          <w:i w:val="0"/>
          <w:sz w:val="21"/>
        </w:rPr>
        <w:t xml:space="preserve">Global volatility. </w:t>
      </w:r>
      <w:r>
        <w:rPr>
          <w:rFonts w:ascii="Arial" w:hAnsi="Arial"/>
          <w:b w:val="0"/>
          <w:i w:val="0"/>
          <w:sz w:val="21"/>
        </w:rPr>
        <w:t>“Global fracturing”, US trade policy and the Middle East shock could feed second-round inflation and rand weakness, pressuring the SA macro the bull case relies on.</w:t>
      </w:r>
    </w:p>
    <w:p>
      <w:pPr>
        <w:pStyle w:val="ListBullet"/>
        <w:spacing w:after="80"/>
      </w:pPr>
      <w:r>
        <w:rPr>
          <w:rFonts w:ascii="Arial" w:hAnsi="Arial"/>
          <w:b/>
          <w:i w:val="0"/>
          <w:sz w:val="21"/>
        </w:rPr>
        <w:t xml:space="preserve">Confirm/deny next. </w:t>
      </w:r>
      <w:r>
        <w:rPr>
          <w:rFonts w:ascii="Arial" w:hAnsi="Arial"/>
          <w:b w:val="0"/>
          <w:i w:val="0"/>
          <w:sz w:val="21"/>
        </w:rPr>
        <w:t>The FY2026 result (to 30 June 2026, due ~early Sept 2026) is the next read. Against H1's +11%, a full-year landing in the high mid-teens confirms Neutral/Bull; a sub-10% landing with a rising CLR confirms Bear.</w:t>
      </w:r>
    </w:p>
    <w:p>
      <w:pPr>
        <w:pStyle w:val="Heading1"/>
      </w:pPr>
      <w:r>
        <w:t>9. Sources</w:t>
      </w:r>
    </w:p>
    <w:p>
      <w:pPr>
        <w:pStyle w:val="ListBullet"/>
        <w:spacing w:after="80"/>
      </w:pPr>
      <w:r>
        <w:rPr>
          <w:rFonts w:ascii="Arial" w:hAnsi="Arial"/>
          <w:b w:val="0"/>
          <w:i w:val="0"/>
          <w:sz w:val="21"/>
        </w:rPr>
        <w:t xml:space="preserve">FirstRand FY2025 Analysis of Financial Results (year to 30 June 2025) — Prospects pp. 24-25, Key Financial Information &amp; segment tables. Original PDF on file. </w:t>
      </w:r>
      <w:hyperlink r:id="rId10">
        <w:r>
          <w:rPr>
            <w:rFonts w:ascii="Arial" w:hAnsi="Arial"/>
            <w:color w:val="0563C1"/>
            <w:u w:val="single"/>
            <w:sz w:val="21"/>
          </w:rPr>
          <w:t>fsr-analysis-of-financial-results-June-2025 (PDF)</w:t>
        </w:r>
      </w:hyperlink>
    </w:p>
    <w:p>
      <w:pPr>
        <w:pStyle w:val="ListBullet"/>
        <w:spacing w:after="80"/>
      </w:pPr>
      <w:r>
        <w:rPr>
          <w:rFonts w:ascii="Arial" w:hAnsi="Arial"/>
          <w:b w:val="0"/>
          <w:i w:val="0"/>
          <w:sz w:val="21"/>
        </w:rPr>
        <w:t xml:space="preserve">FirstRand FY2025 results presentation. Original PDF on file. </w:t>
      </w:r>
      <w:hyperlink r:id="rId11">
        <w:r>
          <w:rPr>
            <w:rFonts w:ascii="Arial" w:hAnsi="Arial"/>
            <w:color w:val="0563C1"/>
            <w:u w:val="single"/>
            <w:sz w:val="21"/>
          </w:rPr>
          <w:t>fsr-results-presentation-June-2025 (PDF)</w:t>
        </w:r>
      </w:hyperlink>
    </w:p>
    <w:p>
      <w:pPr>
        <w:pStyle w:val="ListBullet"/>
        <w:spacing w:after="80"/>
      </w:pPr>
      <w:r>
        <w:rPr>
          <w:rFonts w:ascii="Arial" w:hAnsi="Arial"/>
          <w:b w:val="0"/>
          <w:i w:val="0"/>
          <w:sz w:val="21"/>
        </w:rPr>
        <w:t xml:space="preserve">FirstRand interim results &amp; dividend declaration, six months ended 31 December 2025 (SENS, 5 Mar 2026). </w:t>
      </w:r>
      <w:hyperlink r:id="rId12">
        <w:r>
          <w:rPr>
            <w:rFonts w:ascii="Arial" w:hAnsi="Arial"/>
            <w:color w:val="0563C1"/>
            <w:u w:val="single"/>
            <w:sz w:val="21"/>
          </w:rPr>
          <w:t>FSR H1 FY2026 results SENS</w:t>
        </w:r>
      </w:hyperlink>
    </w:p>
    <w:p>
      <w:pPr>
        <w:pStyle w:val="ListBullet"/>
        <w:spacing w:after="80"/>
      </w:pPr>
      <w:r>
        <w:rPr>
          <w:rFonts w:ascii="Arial" w:hAnsi="Arial"/>
          <w:b w:val="0"/>
          <w:i w:val="0"/>
          <w:sz w:val="21"/>
        </w:rPr>
        <w:t xml:space="preserve">SARB Monetary Policy Committee — repo raised 25bps to 7.0% (28 May 2026); 2026 forecasts CPI 4.4% / GDP 1.2%. </w:t>
      </w:r>
      <w:hyperlink r:id="rId13">
        <w:r>
          <w:rPr>
            <w:rFonts w:ascii="Arial" w:hAnsi="Arial"/>
            <w:color w:val="0563C1"/>
            <w:u w:val="single"/>
            <w:sz w:val="21"/>
          </w:rPr>
          <w:t>SARB monetary policy</w:t>
        </w:r>
      </w:hyperlink>
    </w:p>
    <w:p>
      <w:pPr>
        <w:pStyle w:val="ListBullet"/>
        <w:spacing w:after="80"/>
      </w:pPr>
      <w:r>
        <w:rPr>
          <w:rFonts w:ascii="Arial" w:hAnsi="Arial"/>
          <w:b w:val="0"/>
          <w:i w:val="0"/>
          <w:sz w:val="21"/>
        </w:rPr>
        <w:t xml:space="preserve">South Africa inflation rate (StatsSA / Trading Economics) — CPI 4.0% April 2026. </w:t>
      </w:r>
      <w:hyperlink r:id="rId14">
        <w:r>
          <w:rPr>
            <w:rFonts w:ascii="Arial" w:hAnsi="Arial"/>
            <w:color w:val="0563C1"/>
            <w:u w:val="single"/>
            <w:sz w:val="21"/>
          </w:rPr>
          <w:t>SA CPI</w:t>
        </w:r>
      </w:hyperlink>
    </w:p>
    <w:p>
      <w:pPr>
        <w:spacing w:after="120" w:before="160"/>
      </w:pPr>
      <w:r>
        <w:rPr>
          <w:rFonts w:ascii="Arial" w:hAnsi="Arial"/>
          <w:b w:val="0"/>
          <w:i/>
          <w:color w:val="595959"/>
          <w:sz w:val="16"/>
        </w:rPr>
        <w:t>For informational purposes only — not investment advice; prepared by internal research from public disclosures. Figures reported in ZAR unless stated. Reviewed vs audited status is noted per company. Forward figures and scenario levels are analyst estimates (e), not company guidance. Share/commodity prices via web search may be delayed — there is no live JSE feed here. Confirm the fund's dealing-period status before acting.</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808080"/>
        <w:sz w:val="15"/>
      </w:rPr>
      <w:t xml:space="preserve">FirstRand (FSR) — Bull/Bear/Neutral Outlook &amp; Sentiment — Jun 2026 — Internal &amp; confidential  Page </w:t>
    </w:r>
    <w:fldSimple w:instr="PAGE">
      <w:r>
        <w:rPr>
          <w:sz w:val="1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irstrand.co.za/media/investors/reports/fsr-analysis-of-financial-results-June-2025-single-page-printable-booklet.pdf" TargetMode="External"/><Relationship Id="rId11" Type="http://schemas.openxmlformats.org/officeDocument/2006/relationships/hyperlink" Target="https://www.firstrand.co.za/media/investors/reports/fsr-results-presentation-June-2025.pdf" TargetMode="External"/><Relationship Id="rId12" Type="http://schemas.openxmlformats.org/officeDocument/2006/relationships/hyperlink" Target="https://www.sharenet.co.za/v3/sens_display.php?tdate=20260305083000&amp;seq=25" TargetMode="External"/><Relationship Id="rId13" Type="http://schemas.openxmlformats.org/officeDocument/2006/relationships/hyperlink" Target="https://www.resbank.co.za/en/home/what-we-do/monetary-policy" TargetMode="External"/><Relationship Id="rId14" Type="http://schemas.openxmlformats.org/officeDocument/2006/relationships/hyperlink" Target="https://tradingeconomics.com/south-africa/inflation-c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