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Mr Price Group (JSE: MRP) — Scenario Outlook FY2027 / FY2028</w:t>
      </w:r>
    </w:p>
    <w:p>
      <w:pPr>
        <w:spacing w:after="40" w:before="0"/>
      </w:pPr>
      <w:r>
        <w:rPr>
          <w:rFonts w:ascii="Arial" w:hAnsi="Arial"/>
          <w:b w:val="0"/>
          <w:i w:val="0"/>
          <w:color w:val="595959"/>
          <w:sz w:val="20"/>
        </w:rPr>
        <w:t>Bull / Neutral / Bear projections for the 2026/27 (FY2027) and 2027/28 (FY2028) financial years, with a sentiment read of management and market language.</w:t>
      </w:r>
    </w:p>
    <w:p>
      <w:pPr>
        <w:spacing w:after="40" w:before="0"/>
      </w:pPr>
      <w:r>
        <w:rPr>
          <w:rFonts w:ascii="Arial" w:hAnsi="Arial"/>
          <w:b w:val="0"/>
          <w:i w:val="0"/>
          <w:color w:val="595959"/>
          <w:sz w:val="20"/>
        </w:rPr>
        <w:t>Internal research note — prepared 18 June 2026. FYE end-March (52/53-week retail calendar). All figures ZAR unless stated.</w:t>
      </w:r>
    </w:p>
    <w:p>
      <w:pPr>
        <w:spacing w:after="60" w:before="0"/>
      </w:pPr>
      <w:r>
        <w:rPr>
          <w:rFonts w:ascii="Arial" w:hAnsi="Arial"/>
          <w:b/>
          <w:i w:val="0"/>
          <w:sz w:val="26"/>
        </w:rPr>
        <w:t>Will the SA cash engine or the NKD bet drive FY2027–28?</w:t>
      </w:r>
    </w:p>
    <w:p>
      <w:pPr>
        <w:spacing w:after="200" w:before="0"/>
      </w:pPr>
      <w:r>
        <w:rPr>
          <w:rFonts w:ascii="Arial" w:hAnsi="Arial"/>
          <w:b w:val="0"/>
          <w:i/>
          <w:color w:val="595959"/>
          <w:sz w:val="18"/>
        </w:rPr>
        <w:t>Anchored on FY2026 annual results (52 weeks to 28 March 2026, released 5 June 2026) and the NKD acquisition (closing 31 March 2026, consolidating from FY2027). FY2026 is the reported actual; FY2027 = the 2026/27 year. Forward figures are analyst estimates (e).</w:t>
      </w:r>
    </w:p>
    <w:p>
      <w:pPr>
        <w:pStyle w:val="Heading1"/>
      </w:pPr>
      <w:r>
        <w:t>1. Verdict</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House view.  </w:t>
            </w:r>
            <w:r>
              <w:rPr>
                <w:rFonts w:ascii="Arial" w:hAnsi="Arial"/>
                <w:b w:val="0"/>
                <w:i w:val="0"/>
                <w:sz w:val="21"/>
              </w:rPr>
              <w:t>Mr Price is two stories bolted together. The SA base is a high-quality, cash-generative value retailer (FY2026 operating profit +4.3% to R6.0bn; 89.4% cash sales; self-funded store growth) whose EARNINGS path points to modest, decelerating growth — in-line to slight upgrades, not downgrades. The swing factor is NKD: the ~R9.66bn European acquisition that consolidates from FY2027 doubles the footprint but ends the net-cash balance sheet, adds euro translation risk and integration risk, and is the reason statutory FY2026 HEPS grew only ~2% versus ~8% normalised. The risk is therefore to the RATING and to execution, not the SA numbers: the market de-rated the shares 13.7% on the deal. Neutral case is mid-single-digit normalised HEPS growth with NKD roughly neutral in year one; the Bull case needs an SA consumer/rate tailwind plus a clean NKD turnaround; the Bear case is a loss-making NKD with impairment risk on top of a soft SA consumer.</w:t>
            </w:r>
          </w:p>
        </w:tc>
      </w:tr>
    </w:tbl>
    <w:p>
      <w:pPr>
        <w:spacing w:after="40" w:before="0"/>
      </w:pPr>
    </w:p>
    <w:p>
      <w:pPr>
        <w:spacing w:after="120" w:before="0"/>
      </w:pPr>
      <w:r>
        <w:rPr>
          <w:rFonts w:ascii="Arial" w:hAnsi="Arial"/>
          <w:b w:val="0"/>
          <w:i w:val="0"/>
          <w:sz w:val="21"/>
        </w:rPr>
        <w:t>Bottom line: across FY2027–FY2028 the Neutral case is high-single-digit normalised diluted-HEPS growth with market share held in SA; the Bull case requires NKD to turn profitable early and the SA consumer to recover; the Bear case is an NKD integration overrun (and possible goodwill impairment) compounded by a sticky-inflation SA consumer and a heavier acquisition-debt interest bill. The decisive divergence is FY2028, once the NKD outcome is visible.</w:t>
      </w:r>
    </w:p>
    <w:p>
      <w:pPr>
        <w:pStyle w:val="Heading1"/>
      </w:pPr>
      <w:r>
        <w:t>2. Where Mr Price stands today (sacred actuals)</w:t>
      </w:r>
    </w:p>
    <w:p>
      <w:pPr>
        <w:spacing w:after="120" w:before="0"/>
      </w:pPr>
      <w:r>
        <w:rPr>
          <w:rFonts w:ascii="Arial" w:hAnsi="Arial"/>
          <w:b w:val="0"/>
          <w:i w:val="0"/>
          <w:sz w:val="21"/>
        </w:rPr>
        <w:t>Reported FY2026 figures are taken verbatim from the cited results; FY2025 comparatives marked (e) are derived from the reported percentage changes for context. Group revenue was R42.7bn; retail sales R41.1bn. Statutory diluted-HEPS growth (+2.4%) is depressed by once-off NKD transaction costs — management's normalised diluted HEPS grew +8.0% to ~1,489c.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200"/>
            <w:shd w:val="clear" w:fill="1F3864"/>
          </w:tcPr>
          <w:p>
            <w:r/>
            <w:r>
              <w:rPr>
                <w:rFonts w:ascii="Arial" w:hAnsi="Arial"/>
                <w:b/>
                <w:i w:val="0"/>
                <w:color w:val="FFFFFF"/>
                <w:sz w:val="18"/>
              </w:rPr>
              <w:t>Metric</w:t>
            </w:r>
          </w:p>
        </w:tc>
        <w:tc>
          <w:tcPr>
            <w:tcW w:type="dxa" w:w="2080"/>
            <w:shd w:val="clear" w:fill="2E5496"/>
          </w:tcPr>
          <w:p>
            <w:r/>
            <w:r>
              <w:rPr>
                <w:rFonts w:ascii="Arial" w:hAnsi="Arial"/>
                <w:b/>
                <w:i w:val="0"/>
                <w:color w:val="FFFFFF"/>
                <w:sz w:val="18"/>
              </w:rPr>
              <w:t>FY2026A</w:t>
            </w:r>
          </w:p>
        </w:tc>
        <w:tc>
          <w:tcPr>
            <w:tcW w:type="dxa" w:w="2080"/>
            <w:shd w:val="clear" w:fill="808080"/>
          </w:tcPr>
          <w:p>
            <w:r/>
            <w:r>
              <w:rPr>
                <w:rFonts w:ascii="Arial" w:hAnsi="Arial"/>
                <w:b/>
                <w:i w:val="0"/>
                <w:color w:val="FFFFFF"/>
                <w:sz w:val="18"/>
              </w:rPr>
              <w:t>FY2025A</w:t>
            </w:r>
          </w:p>
        </w:tc>
        <w:tc>
          <w:tcPr>
            <w:tcW w:type="dxa" w:w="2000"/>
            <w:shd w:val="clear" w:fill="1F3864"/>
          </w:tcPr>
          <w:p>
            <w:r/>
            <w:r>
              <w:rPr>
                <w:rFonts w:ascii="Arial" w:hAnsi="Arial"/>
                <w:b/>
                <w:i w:val="0"/>
                <w:color w:val="FFFFFF"/>
                <w:sz w:val="18"/>
              </w:rPr>
              <w:t>Change</w:t>
            </w:r>
          </w:p>
        </w:tc>
      </w:tr>
      <w:tr>
        <w:tc>
          <w:tcPr>
            <w:tcW w:type="dxa" w:w="3200"/>
            <w:shd w:val="clear" w:fill="F2F2F2"/>
          </w:tcPr>
          <w:p>
            <w:r/>
            <w:r>
              <w:rPr>
                <w:rFonts w:ascii="Arial" w:hAnsi="Arial"/>
                <w:b/>
                <w:i w:val="0"/>
                <w:sz w:val="18"/>
              </w:rPr>
              <w:t>Retail sales (R'm)</w:t>
            </w:r>
          </w:p>
        </w:tc>
        <w:tc>
          <w:tcPr>
            <w:tcW w:type="dxa" w:w="2080"/>
          </w:tcPr>
          <w:p>
            <w:r/>
            <w:r>
              <w:rPr>
                <w:rFonts w:ascii="Arial" w:hAnsi="Arial"/>
                <w:b w:val="0"/>
                <w:i w:val="0"/>
                <w:sz w:val="18"/>
              </w:rPr>
              <w:t>41,100</w:t>
            </w:r>
          </w:p>
        </w:tc>
        <w:tc>
          <w:tcPr>
            <w:tcW w:type="dxa" w:w="2080"/>
          </w:tcPr>
          <w:p>
            <w:r/>
            <w:r>
              <w:rPr>
                <w:rFonts w:ascii="Arial" w:hAnsi="Arial"/>
                <w:b w:val="0"/>
                <w:i w:val="0"/>
                <w:sz w:val="18"/>
              </w:rPr>
              <w:t>39,406 (e)</w:t>
            </w:r>
          </w:p>
        </w:tc>
        <w:tc>
          <w:tcPr>
            <w:tcW w:type="dxa" w:w="2000"/>
          </w:tcPr>
          <w:p>
            <w:r/>
            <w:r>
              <w:rPr>
                <w:rFonts w:ascii="Arial" w:hAnsi="Arial"/>
                <w:b w:val="0"/>
                <w:i w:val="0"/>
                <w:sz w:val="18"/>
              </w:rPr>
              <w:t>+4.3%</w:t>
            </w:r>
          </w:p>
        </w:tc>
      </w:tr>
      <w:tr>
        <w:tc>
          <w:tcPr>
            <w:tcW w:type="dxa" w:w="3200"/>
            <w:shd w:val="clear" w:fill="F2F2F2"/>
          </w:tcPr>
          <w:p>
            <w:r/>
            <w:r>
              <w:rPr>
                <w:rFonts w:ascii="Arial" w:hAnsi="Arial"/>
                <w:b/>
                <w:i w:val="0"/>
                <w:sz w:val="18"/>
              </w:rPr>
              <w:t>Group revenue (R'm)</w:t>
            </w:r>
          </w:p>
        </w:tc>
        <w:tc>
          <w:tcPr>
            <w:tcW w:type="dxa" w:w="2080"/>
            <w:shd w:val="clear" w:fill="FAFAFA"/>
          </w:tcPr>
          <w:p>
            <w:r/>
            <w:r>
              <w:rPr>
                <w:rFonts w:ascii="Arial" w:hAnsi="Arial"/>
                <w:b w:val="0"/>
                <w:i w:val="0"/>
                <w:sz w:val="18"/>
              </w:rPr>
              <w:t>42,700</w:t>
            </w:r>
          </w:p>
        </w:tc>
        <w:tc>
          <w:tcPr>
            <w:tcW w:type="dxa" w:w="2080"/>
            <w:shd w:val="clear" w:fill="FAFAFA"/>
          </w:tcPr>
          <w:p>
            <w:r/>
            <w:r>
              <w:rPr>
                <w:rFonts w:ascii="Arial" w:hAnsi="Arial"/>
                <w:b w:val="0"/>
                <w:i w:val="0"/>
                <w:sz w:val="18"/>
              </w:rPr>
              <w:t>n/d</w:t>
            </w:r>
          </w:p>
        </w:tc>
        <w:tc>
          <w:tcPr>
            <w:tcW w:type="dxa" w:w="2000"/>
            <w:shd w:val="clear" w:fill="FAFAFA"/>
          </w:tcPr>
          <w:p>
            <w:r/>
            <w:r>
              <w:rPr>
                <w:rFonts w:ascii="Arial" w:hAnsi="Arial"/>
                <w:b w:val="0"/>
                <w:i w:val="0"/>
                <w:sz w:val="18"/>
              </w:rPr>
              <w:t>+4.1% (e)</w:t>
            </w:r>
          </w:p>
        </w:tc>
      </w:tr>
      <w:tr>
        <w:tc>
          <w:tcPr>
            <w:tcW w:type="dxa" w:w="3200"/>
            <w:shd w:val="clear" w:fill="F2F2F2"/>
          </w:tcPr>
          <w:p>
            <w:r/>
            <w:r>
              <w:rPr>
                <w:rFonts w:ascii="Arial" w:hAnsi="Arial"/>
                <w:b/>
                <w:i w:val="0"/>
                <w:sz w:val="18"/>
              </w:rPr>
              <w:t>Operating profit (R'm)</w:t>
            </w:r>
          </w:p>
        </w:tc>
        <w:tc>
          <w:tcPr>
            <w:tcW w:type="dxa" w:w="2080"/>
          </w:tcPr>
          <w:p>
            <w:r/>
            <w:r>
              <w:rPr>
                <w:rFonts w:ascii="Arial" w:hAnsi="Arial"/>
                <w:b w:val="0"/>
                <w:i w:val="0"/>
                <w:sz w:val="18"/>
              </w:rPr>
              <w:t>6,000</w:t>
            </w:r>
          </w:p>
        </w:tc>
        <w:tc>
          <w:tcPr>
            <w:tcW w:type="dxa" w:w="2080"/>
          </w:tcPr>
          <w:p>
            <w:r/>
            <w:r>
              <w:rPr>
                <w:rFonts w:ascii="Arial" w:hAnsi="Arial"/>
                <w:b w:val="0"/>
                <w:i w:val="0"/>
                <w:sz w:val="18"/>
              </w:rPr>
              <w:t>5,753 (e)</w:t>
            </w:r>
          </w:p>
        </w:tc>
        <w:tc>
          <w:tcPr>
            <w:tcW w:type="dxa" w:w="2000"/>
          </w:tcPr>
          <w:p>
            <w:r/>
            <w:r>
              <w:rPr>
                <w:rFonts w:ascii="Arial" w:hAnsi="Arial"/>
                <w:b w:val="0"/>
                <w:i w:val="0"/>
                <w:sz w:val="18"/>
              </w:rPr>
              <w:t>+4.3%</w:t>
            </w:r>
          </w:p>
        </w:tc>
      </w:tr>
      <w:tr>
        <w:tc>
          <w:tcPr>
            <w:tcW w:type="dxa" w:w="3200"/>
            <w:shd w:val="clear" w:fill="F2F2F2"/>
          </w:tcPr>
          <w:p>
            <w:r/>
            <w:r>
              <w:rPr>
                <w:rFonts w:ascii="Arial" w:hAnsi="Arial"/>
                <w:b/>
                <w:i w:val="0"/>
                <w:sz w:val="18"/>
              </w:rPr>
              <w:t>Other revenue (R'm)</w:t>
            </w:r>
          </w:p>
        </w:tc>
        <w:tc>
          <w:tcPr>
            <w:tcW w:type="dxa" w:w="2080"/>
            <w:shd w:val="clear" w:fill="FAFAFA"/>
          </w:tcPr>
          <w:p>
            <w:r/>
            <w:r>
              <w:rPr>
                <w:rFonts w:ascii="Arial" w:hAnsi="Arial"/>
                <w:b w:val="0"/>
                <w:i w:val="0"/>
                <w:sz w:val="18"/>
              </w:rPr>
              <w:t>1,300</w:t>
            </w:r>
          </w:p>
        </w:tc>
        <w:tc>
          <w:tcPr>
            <w:tcW w:type="dxa" w:w="2080"/>
            <w:shd w:val="clear" w:fill="FAFAFA"/>
          </w:tcPr>
          <w:p>
            <w:r/>
            <w:r>
              <w:rPr>
                <w:rFonts w:ascii="Arial" w:hAnsi="Arial"/>
                <w:b w:val="0"/>
                <w:i w:val="0"/>
                <w:sz w:val="18"/>
              </w:rPr>
              <w:t>1,325 (e)</w:t>
            </w:r>
          </w:p>
        </w:tc>
        <w:tc>
          <w:tcPr>
            <w:tcW w:type="dxa" w:w="2000"/>
            <w:shd w:val="clear" w:fill="FAFAFA"/>
          </w:tcPr>
          <w:p>
            <w:r/>
            <w:r>
              <w:rPr>
                <w:rFonts w:ascii="Arial" w:hAnsi="Arial"/>
                <w:b w:val="0"/>
                <w:i w:val="0"/>
                <w:sz w:val="18"/>
              </w:rPr>
              <w:t>−1.9%</w:t>
            </w:r>
          </w:p>
        </w:tc>
      </w:tr>
      <w:tr>
        <w:tc>
          <w:tcPr>
            <w:tcW w:type="dxa" w:w="3200"/>
            <w:shd w:val="clear" w:fill="F2F2F2"/>
          </w:tcPr>
          <w:p>
            <w:r/>
            <w:r>
              <w:rPr>
                <w:rFonts w:ascii="Arial" w:hAnsi="Arial"/>
                <w:b/>
                <w:i w:val="0"/>
                <w:sz w:val="18"/>
              </w:rPr>
              <w:t>HEPS (cents)</w:t>
            </w:r>
          </w:p>
        </w:tc>
        <w:tc>
          <w:tcPr>
            <w:tcW w:type="dxa" w:w="2080"/>
          </w:tcPr>
          <w:p>
            <w:r/>
            <w:r>
              <w:rPr>
                <w:rFonts w:ascii="Arial" w:hAnsi="Arial"/>
                <w:b w:val="0"/>
                <w:i w:val="0"/>
                <w:sz w:val="18"/>
              </w:rPr>
              <w:t>1,453.9</w:t>
            </w:r>
          </w:p>
        </w:tc>
        <w:tc>
          <w:tcPr>
            <w:tcW w:type="dxa" w:w="2080"/>
          </w:tcPr>
          <w:p>
            <w:r/>
            <w:r>
              <w:rPr>
                <w:rFonts w:ascii="Arial" w:hAnsi="Arial"/>
                <w:b w:val="0"/>
                <w:i w:val="0"/>
                <w:sz w:val="18"/>
              </w:rPr>
              <w:t>1,424.0 (e)</w:t>
            </w:r>
          </w:p>
        </w:tc>
        <w:tc>
          <w:tcPr>
            <w:tcW w:type="dxa" w:w="2000"/>
          </w:tcPr>
          <w:p>
            <w:r/>
            <w:r>
              <w:rPr>
                <w:rFonts w:ascii="Arial" w:hAnsi="Arial"/>
                <w:b w:val="0"/>
                <w:i w:val="0"/>
                <w:sz w:val="18"/>
              </w:rPr>
              <w:t>+2.1%</w:t>
            </w:r>
          </w:p>
        </w:tc>
      </w:tr>
      <w:tr>
        <w:tc>
          <w:tcPr>
            <w:tcW w:type="dxa" w:w="3200"/>
            <w:shd w:val="clear" w:fill="F2F2F2"/>
          </w:tcPr>
          <w:p>
            <w:r/>
            <w:r>
              <w:rPr>
                <w:rFonts w:ascii="Arial" w:hAnsi="Arial"/>
                <w:b/>
                <w:i w:val="0"/>
                <w:sz w:val="18"/>
              </w:rPr>
              <w:t>Diluted HEPS — statutory (cents)</w:t>
            </w:r>
          </w:p>
        </w:tc>
        <w:tc>
          <w:tcPr>
            <w:tcW w:type="dxa" w:w="2080"/>
            <w:shd w:val="clear" w:fill="FAFAFA"/>
          </w:tcPr>
          <w:p>
            <w:r/>
            <w:r>
              <w:rPr>
                <w:rFonts w:ascii="Arial" w:hAnsi="Arial"/>
                <w:b w:val="0"/>
                <w:i w:val="0"/>
                <w:sz w:val="18"/>
              </w:rPr>
              <w:t>1,411.8</w:t>
            </w:r>
          </w:p>
        </w:tc>
        <w:tc>
          <w:tcPr>
            <w:tcW w:type="dxa" w:w="2080"/>
            <w:shd w:val="clear" w:fill="FAFAFA"/>
          </w:tcPr>
          <w:p>
            <w:r/>
            <w:r>
              <w:rPr>
                <w:rFonts w:ascii="Arial" w:hAnsi="Arial"/>
                <w:b w:val="0"/>
                <w:i w:val="0"/>
                <w:sz w:val="18"/>
              </w:rPr>
              <w:t>1,378.7 (e)</w:t>
            </w:r>
          </w:p>
        </w:tc>
        <w:tc>
          <w:tcPr>
            <w:tcW w:type="dxa" w:w="2000"/>
            <w:shd w:val="clear" w:fill="FAFAFA"/>
          </w:tcPr>
          <w:p>
            <w:r/>
            <w:r>
              <w:rPr>
                <w:rFonts w:ascii="Arial" w:hAnsi="Arial"/>
                <w:b w:val="0"/>
                <w:i w:val="0"/>
                <w:sz w:val="18"/>
              </w:rPr>
              <w:t>+2.4%</w:t>
            </w:r>
          </w:p>
        </w:tc>
      </w:tr>
      <w:tr>
        <w:tc>
          <w:tcPr>
            <w:tcW w:type="dxa" w:w="3200"/>
            <w:shd w:val="clear" w:fill="F2F2F2"/>
          </w:tcPr>
          <w:p>
            <w:r/>
            <w:r>
              <w:rPr>
                <w:rFonts w:ascii="Arial" w:hAnsi="Arial"/>
                <w:b/>
                <w:i w:val="0"/>
                <w:sz w:val="18"/>
              </w:rPr>
              <w:t>Diluted HEPS — normalised (cents)</w:t>
            </w:r>
          </w:p>
        </w:tc>
        <w:tc>
          <w:tcPr>
            <w:tcW w:type="dxa" w:w="2080"/>
          </w:tcPr>
          <w:p>
            <w:r/>
            <w:r>
              <w:rPr>
                <w:rFonts w:ascii="Arial" w:hAnsi="Arial"/>
                <w:b w:val="0"/>
                <w:i w:val="0"/>
                <w:sz w:val="18"/>
              </w:rPr>
              <w:t>~1,489</w:t>
            </w:r>
          </w:p>
        </w:tc>
        <w:tc>
          <w:tcPr>
            <w:tcW w:type="dxa" w:w="2080"/>
          </w:tcPr>
          <w:p>
            <w:r/>
            <w:r>
              <w:rPr>
                <w:rFonts w:ascii="Arial" w:hAnsi="Arial"/>
                <w:b w:val="0"/>
                <w:i w:val="0"/>
                <w:sz w:val="18"/>
              </w:rPr>
              <w:t>1,379 (e)</w:t>
            </w:r>
          </w:p>
        </w:tc>
        <w:tc>
          <w:tcPr>
            <w:tcW w:type="dxa" w:w="2000"/>
          </w:tcPr>
          <w:p>
            <w:r/>
            <w:r>
              <w:rPr>
                <w:rFonts w:ascii="Arial" w:hAnsi="Arial"/>
                <w:b w:val="0"/>
                <w:i w:val="0"/>
                <w:sz w:val="18"/>
              </w:rPr>
              <w:t>+8.0%</w:t>
            </w:r>
          </w:p>
        </w:tc>
      </w:tr>
      <w:tr>
        <w:tc>
          <w:tcPr>
            <w:tcW w:type="dxa" w:w="3200"/>
            <w:shd w:val="clear" w:fill="F2F2F2"/>
          </w:tcPr>
          <w:p>
            <w:r/>
            <w:r>
              <w:rPr>
                <w:rFonts w:ascii="Arial" w:hAnsi="Arial"/>
                <w:b/>
                <w:i w:val="0"/>
                <w:sz w:val="18"/>
              </w:rPr>
              <w:t>Basic EPS (cents)</w:t>
            </w:r>
          </w:p>
        </w:tc>
        <w:tc>
          <w:tcPr>
            <w:tcW w:type="dxa" w:w="2080"/>
            <w:shd w:val="clear" w:fill="FAFAFA"/>
          </w:tcPr>
          <w:p>
            <w:r/>
            <w:r>
              <w:rPr>
                <w:rFonts w:ascii="Arial" w:hAnsi="Arial"/>
                <w:b w:val="0"/>
                <w:i w:val="0"/>
                <w:sz w:val="18"/>
              </w:rPr>
              <w:t>1,449.5</w:t>
            </w:r>
          </w:p>
        </w:tc>
        <w:tc>
          <w:tcPr>
            <w:tcW w:type="dxa" w:w="2080"/>
            <w:shd w:val="clear" w:fill="FAFAFA"/>
          </w:tcPr>
          <w:p>
            <w:r/>
            <w:r>
              <w:rPr>
                <w:rFonts w:ascii="Arial" w:hAnsi="Arial"/>
                <w:b w:val="0"/>
                <w:i w:val="0"/>
                <w:sz w:val="18"/>
              </w:rPr>
              <w:t>1,416.9 (e)</w:t>
            </w:r>
          </w:p>
        </w:tc>
        <w:tc>
          <w:tcPr>
            <w:tcW w:type="dxa" w:w="2000"/>
            <w:shd w:val="clear" w:fill="FAFAFA"/>
          </w:tcPr>
          <w:p>
            <w:r/>
            <w:r>
              <w:rPr>
                <w:rFonts w:ascii="Arial" w:hAnsi="Arial"/>
                <w:b w:val="0"/>
                <w:i w:val="0"/>
                <w:sz w:val="18"/>
              </w:rPr>
              <w:t>+2.3%</w:t>
            </w:r>
          </w:p>
        </w:tc>
      </w:tr>
      <w:tr>
        <w:tc>
          <w:tcPr>
            <w:tcW w:type="dxa" w:w="3200"/>
            <w:shd w:val="clear" w:fill="F2F2F2"/>
          </w:tcPr>
          <w:p>
            <w:r/>
            <w:r>
              <w:rPr>
                <w:rFonts w:ascii="Arial" w:hAnsi="Arial"/>
                <w:b/>
                <w:i w:val="0"/>
                <w:sz w:val="18"/>
              </w:rPr>
              <w:t>Final dividend (cents)</w:t>
            </w:r>
          </w:p>
        </w:tc>
        <w:tc>
          <w:tcPr>
            <w:tcW w:type="dxa" w:w="2080"/>
          </w:tcPr>
          <w:p>
            <w:r/>
            <w:r>
              <w:rPr>
                <w:rFonts w:ascii="Arial" w:hAnsi="Arial"/>
                <w:b w:val="0"/>
                <w:i w:val="0"/>
                <w:sz w:val="18"/>
              </w:rPr>
              <w:t>592.8</w:t>
            </w:r>
          </w:p>
        </w:tc>
        <w:tc>
          <w:tcPr>
            <w:tcW w:type="dxa" w:w="2080"/>
          </w:tcPr>
          <w:p>
            <w:r/>
            <w:r>
              <w:rPr>
                <w:rFonts w:ascii="Arial" w:hAnsi="Arial"/>
                <w:b w:val="0"/>
                <w:i w:val="0"/>
                <w:sz w:val="18"/>
              </w:rPr>
              <w:t>593.5</w:t>
            </w:r>
          </w:p>
        </w:tc>
        <w:tc>
          <w:tcPr>
            <w:tcW w:type="dxa" w:w="2000"/>
          </w:tcPr>
          <w:p>
            <w:r/>
            <w:r>
              <w:rPr>
                <w:rFonts w:ascii="Arial" w:hAnsi="Arial"/>
                <w:b w:val="0"/>
                <w:i w:val="0"/>
                <w:sz w:val="18"/>
              </w:rPr>
              <w:t>−0.1%</w:t>
            </w:r>
          </w:p>
        </w:tc>
      </w:tr>
      <w:tr>
        <w:tc>
          <w:tcPr>
            <w:tcW w:type="dxa" w:w="3200"/>
            <w:shd w:val="clear" w:fill="F2F2F2"/>
          </w:tcPr>
          <w:p>
            <w:r/>
            <w:r>
              <w:rPr>
                <w:rFonts w:ascii="Arial" w:hAnsi="Arial"/>
                <w:b/>
                <w:i w:val="0"/>
                <w:sz w:val="18"/>
              </w:rPr>
              <w:t>RSP (selling-price) inflation</w:t>
            </w:r>
          </w:p>
        </w:tc>
        <w:tc>
          <w:tcPr>
            <w:tcW w:type="dxa" w:w="2080"/>
            <w:shd w:val="clear" w:fill="FAFAFA"/>
          </w:tcPr>
          <w:p>
            <w:r/>
            <w:r>
              <w:rPr>
                <w:rFonts w:ascii="Arial" w:hAnsi="Arial"/>
                <w:b w:val="0"/>
                <w:i w:val="0"/>
                <w:sz w:val="18"/>
              </w:rPr>
              <w:t>3.8%</w:t>
            </w:r>
          </w:p>
        </w:tc>
        <w:tc>
          <w:tcPr>
            <w:tcW w:type="dxa" w:w="2080"/>
            <w:shd w:val="clear" w:fill="FAFAFA"/>
          </w:tcPr>
          <w:p>
            <w:r/>
            <w:r>
              <w:rPr>
                <w:rFonts w:ascii="Arial" w:hAnsi="Arial"/>
                <w:b w:val="0"/>
                <w:i w:val="0"/>
                <w:sz w:val="18"/>
              </w:rPr>
              <w:t>—</w:t>
            </w:r>
          </w:p>
        </w:tc>
        <w:tc>
          <w:tcPr>
            <w:tcW w:type="dxa" w:w="2000"/>
            <w:shd w:val="clear" w:fill="FAFAFA"/>
          </w:tcPr>
          <w:p>
            <w:r/>
            <w:r>
              <w:rPr>
                <w:rFonts w:ascii="Arial" w:hAnsi="Arial"/>
                <w:b w:val="0"/>
                <w:i w:val="0"/>
                <w:sz w:val="18"/>
              </w:rPr>
              <w:t>—</w:t>
            </w:r>
          </w:p>
        </w:tc>
      </w:tr>
      <w:tr>
        <w:tc>
          <w:tcPr>
            <w:tcW w:type="dxa" w:w="3200"/>
            <w:shd w:val="clear" w:fill="F2F2F2"/>
          </w:tcPr>
          <w:p>
            <w:r/>
            <w:r>
              <w:rPr>
                <w:rFonts w:ascii="Arial" w:hAnsi="Arial"/>
                <w:b/>
                <w:i w:val="0"/>
                <w:sz w:val="18"/>
              </w:rPr>
              <w:t>Unit sales growth</w:t>
            </w:r>
          </w:p>
        </w:tc>
        <w:tc>
          <w:tcPr>
            <w:tcW w:type="dxa" w:w="2080"/>
          </w:tcPr>
          <w:p>
            <w:r/>
            <w:r>
              <w:rPr>
                <w:rFonts w:ascii="Arial" w:hAnsi="Arial"/>
                <w:b w:val="0"/>
                <w:i w:val="0"/>
                <w:sz w:val="18"/>
              </w:rPr>
              <w:t>+0.5%</w:t>
            </w:r>
          </w:p>
        </w:tc>
        <w:tc>
          <w:tcPr>
            <w:tcW w:type="dxa" w:w="2080"/>
          </w:tcPr>
          <w:p>
            <w:r/>
            <w:r>
              <w:rPr>
                <w:rFonts w:ascii="Arial" w:hAnsi="Arial"/>
                <w:b w:val="0"/>
                <w:i w:val="0"/>
                <w:sz w:val="18"/>
              </w:rPr>
              <w:t>—</w:t>
            </w:r>
          </w:p>
        </w:tc>
        <w:tc>
          <w:tcPr>
            <w:tcW w:type="dxa" w:w="2000"/>
          </w:tcPr>
          <w:p>
            <w:r/>
            <w:r>
              <w:rPr>
                <w:rFonts w:ascii="Arial" w:hAnsi="Arial"/>
                <w:b w:val="0"/>
                <w:i w:val="0"/>
                <w:sz w:val="18"/>
              </w:rPr>
              <w:t>—</w:t>
            </w:r>
          </w:p>
        </w:tc>
      </w:tr>
      <w:tr>
        <w:tc>
          <w:tcPr>
            <w:tcW w:type="dxa" w:w="3200"/>
            <w:shd w:val="clear" w:fill="F2F2F2"/>
          </w:tcPr>
          <w:p>
            <w:r/>
            <w:r>
              <w:rPr>
                <w:rFonts w:ascii="Arial" w:hAnsi="Arial"/>
                <w:b/>
                <w:i w:val="0"/>
                <w:sz w:val="18"/>
              </w:rPr>
              <w:t>Online sales growth</w:t>
            </w:r>
          </w:p>
        </w:tc>
        <w:tc>
          <w:tcPr>
            <w:tcW w:type="dxa" w:w="2080"/>
            <w:shd w:val="clear" w:fill="FAFAFA"/>
          </w:tcPr>
          <w:p>
            <w:r/>
            <w:r>
              <w:rPr>
                <w:rFonts w:ascii="Arial" w:hAnsi="Arial"/>
                <w:b w:val="0"/>
                <w:i w:val="0"/>
                <w:sz w:val="18"/>
              </w:rPr>
              <w:t>+4.9%</w:t>
            </w:r>
          </w:p>
        </w:tc>
        <w:tc>
          <w:tcPr>
            <w:tcW w:type="dxa" w:w="2080"/>
            <w:shd w:val="clear" w:fill="FAFAFA"/>
          </w:tcPr>
          <w:p>
            <w:r/>
            <w:r>
              <w:rPr>
                <w:rFonts w:ascii="Arial" w:hAnsi="Arial"/>
                <w:b w:val="0"/>
                <w:i w:val="0"/>
                <w:sz w:val="18"/>
              </w:rPr>
              <w:t>—</w:t>
            </w:r>
          </w:p>
        </w:tc>
        <w:tc>
          <w:tcPr>
            <w:tcW w:type="dxa" w:w="2000"/>
            <w:shd w:val="clear" w:fill="FAFAFA"/>
          </w:tcPr>
          <w:p>
            <w:r/>
            <w:r>
              <w:rPr>
                <w:rFonts w:ascii="Arial" w:hAnsi="Arial"/>
                <w:b w:val="0"/>
                <w:i w:val="0"/>
                <w:sz w:val="18"/>
              </w:rPr>
              <w:t>—</w:t>
            </w:r>
          </w:p>
        </w:tc>
      </w:tr>
      <w:tr>
        <w:tc>
          <w:tcPr>
            <w:tcW w:type="dxa" w:w="3200"/>
            <w:shd w:val="clear" w:fill="F2F2F2"/>
          </w:tcPr>
          <w:p>
            <w:r/>
            <w:r>
              <w:rPr>
                <w:rFonts w:ascii="Arial" w:hAnsi="Arial"/>
                <w:b/>
                <w:i w:val="0"/>
                <w:sz w:val="18"/>
              </w:rPr>
              <w:t>Cash sales (% of retail sales)</w:t>
            </w:r>
          </w:p>
        </w:tc>
        <w:tc>
          <w:tcPr>
            <w:tcW w:type="dxa" w:w="2080"/>
          </w:tcPr>
          <w:p>
            <w:r/>
            <w:r>
              <w:rPr>
                <w:rFonts w:ascii="Arial" w:hAnsi="Arial"/>
                <w:b w:val="0"/>
                <w:i w:val="0"/>
                <w:sz w:val="18"/>
              </w:rPr>
              <w:t>89.4%</w:t>
            </w:r>
          </w:p>
        </w:tc>
        <w:tc>
          <w:tcPr>
            <w:tcW w:type="dxa" w:w="2080"/>
          </w:tcPr>
          <w:p>
            <w:r/>
            <w:r>
              <w:rPr>
                <w:rFonts w:ascii="Arial" w:hAnsi="Arial"/>
                <w:b w:val="0"/>
                <w:i w:val="0"/>
                <w:sz w:val="18"/>
              </w:rPr>
              <w:t>—</w:t>
            </w:r>
          </w:p>
        </w:tc>
        <w:tc>
          <w:tcPr>
            <w:tcW w:type="dxa" w:w="2000"/>
          </w:tcPr>
          <w:p>
            <w:r/>
            <w:r>
              <w:rPr>
                <w:rFonts w:ascii="Arial" w:hAnsi="Arial"/>
                <w:b w:val="0"/>
                <w:i w:val="0"/>
                <w:sz w:val="18"/>
              </w:rPr>
              <w:t>—</w:t>
            </w:r>
          </w:p>
        </w:tc>
      </w:tr>
      <w:tr>
        <w:tc>
          <w:tcPr>
            <w:tcW w:type="dxa" w:w="3200"/>
            <w:shd w:val="clear" w:fill="F2F2F2"/>
          </w:tcPr>
          <w:p>
            <w:r/>
            <w:r>
              <w:rPr>
                <w:rFonts w:ascii="Arial" w:hAnsi="Arial"/>
                <w:b/>
                <w:i w:val="0"/>
                <w:sz w:val="18"/>
              </w:rPr>
              <w:t>Store count</w:t>
            </w:r>
          </w:p>
        </w:tc>
        <w:tc>
          <w:tcPr>
            <w:tcW w:type="dxa" w:w="2080"/>
            <w:shd w:val="clear" w:fill="FAFAFA"/>
          </w:tcPr>
          <w:p>
            <w:r/>
            <w:r>
              <w:rPr>
                <w:rFonts w:ascii="Arial" w:hAnsi="Arial"/>
                <w:b w:val="0"/>
                <w:i w:val="0"/>
                <w:sz w:val="18"/>
              </w:rPr>
              <w:t>3,182</w:t>
            </w:r>
          </w:p>
        </w:tc>
        <w:tc>
          <w:tcPr>
            <w:tcW w:type="dxa" w:w="2080"/>
            <w:shd w:val="clear" w:fill="FAFAFA"/>
          </w:tcPr>
          <w:p>
            <w:r/>
            <w:r>
              <w:rPr>
                <w:rFonts w:ascii="Arial" w:hAnsi="Arial"/>
                <w:b w:val="0"/>
                <w:i w:val="0"/>
                <w:sz w:val="18"/>
              </w:rPr>
              <w:t>2,986 (e)</w:t>
            </w:r>
          </w:p>
        </w:tc>
        <w:tc>
          <w:tcPr>
            <w:tcW w:type="dxa" w:w="2000"/>
            <w:shd w:val="clear" w:fill="FAFAFA"/>
          </w:tcPr>
          <w:p>
            <w:r/>
            <w:r>
              <w:rPr>
                <w:rFonts w:ascii="Arial" w:hAnsi="Arial"/>
                <w:b w:val="0"/>
                <w:i w:val="0"/>
                <w:sz w:val="18"/>
              </w:rPr>
              <w:t>+196 stores</w:t>
            </w:r>
          </w:p>
        </w:tc>
      </w:tr>
      <w:tr>
        <w:tc>
          <w:tcPr>
            <w:tcW w:type="dxa" w:w="3200"/>
            <w:shd w:val="clear" w:fill="F2F2F2"/>
          </w:tcPr>
          <w:p>
            <w:r/>
            <w:r>
              <w:rPr>
                <w:rFonts w:ascii="Arial" w:hAnsi="Arial"/>
                <w:b/>
                <w:i w:val="0"/>
                <w:sz w:val="18"/>
              </w:rPr>
              <w:t>Weighted trading space growth</w:t>
            </w:r>
          </w:p>
        </w:tc>
        <w:tc>
          <w:tcPr>
            <w:tcW w:type="dxa" w:w="2080"/>
          </w:tcPr>
          <w:p>
            <w:r/>
            <w:r>
              <w:rPr>
                <w:rFonts w:ascii="Arial" w:hAnsi="Arial"/>
                <w:b w:val="0"/>
                <w:i w:val="0"/>
                <w:sz w:val="18"/>
              </w:rPr>
              <w:t>+3.6%</w:t>
            </w:r>
          </w:p>
        </w:tc>
        <w:tc>
          <w:tcPr>
            <w:tcW w:type="dxa" w:w="2080"/>
          </w:tcPr>
          <w:p>
            <w:r/>
            <w:r>
              <w:rPr>
                <w:rFonts w:ascii="Arial" w:hAnsi="Arial"/>
                <w:b w:val="0"/>
                <w:i w:val="0"/>
                <w:sz w:val="18"/>
              </w:rPr>
              <w:t>—</w:t>
            </w:r>
          </w:p>
        </w:tc>
        <w:tc>
          <w:tcPr>
            <w:tcW w:type="dxa" w:w="2000"/>
          </w:tcPr>
          <w:p>
            <w:r/>
            <w:r>
              <w:rPr>
                <w:rFonts w:ascii="Arial" w:hAnsi="Arial"/>
                <w:b w:val="0"/>
                <w:i w:val="0"/>
                <w:sz w:val="18"/>
              </w:rPr>
              <w:t>—</w:t>
            </w:r>
          </w:p>
        </w:tc>
      </w:tr>
    </w:tbl>
    <w:p>
      <w:pPr>
        <w:spacing w:after="40" w:before="0"/>
      </w:pPr>
    </w:p>
    <w:p>
      <w:pPr>
        <w:spacing w:after="120" w:before="0"/>
      </w:pPr>
      <w:r>
        <w:rPr>
          <w:rFonts w:ascii="Arial" w:hAnsi="Arial"/>
          <w:b w:val="0"/>
          <w:i w:val="0"/>
          <w:sz w:val="21"/>
        </w:rPr>
        <w:t>NKD context (from FY2027): up to €487m (~R9.66bn) for a German-headquartered value retailer with 2,000+ stores across seven countries. Combined group revenue is guided toward ~R53bn once consolidated; the deal more than doubles the footprint to &gt;5,000 stores and is the first material offshore operating business — the source of the new euro translation exposure and gearing.</w:t>
      </w:r>
    </w:p>
    <w:p>
      <w:pPr>
        <w:pStyle w:val="Heading1"/>
      </w:pPr>
      <w:r>
        <w:t>3. Sentiment &amp; language analysis</w:t>
      </w:r>
    </w:p>
    <w:p>
      <w:pPr>
        <w:spacing w:after="120" w:before="0"/>
      </w:pPr>
      <w:r>
        <w:rPr>
          <w:rFonts w:ascii="Arial" w:hAnsi="Arial"/>
          <w:b w:val="0"/>
          <w:i w:val="0"/>
          <w:sz w:val="21"/>
        </w:rPr>
        <w:t>Method: a positive/negative lexicon was counted across the captured text of Mr Price's FY2026 results commentary and the NKD deal/market coverage, then cross-read against the analyst framing in that coverage. The token count is a directional signal, not a precise score — and the counts are run over short-form extracts (the full SENS/AFS binary is not yet archived locally), so absolute numbers are low; the contrast between sources is the signal.</w:t>
      </w:r>
    </w:p>
    <w:p>
      <w:pPr>
        <w:spacing w:after="120" w:before="0"/>
      </w:pPr>
      <w:r>
        <w:rPr>
          <w:rFonts w:ascii="Arial" w:hAnsi="Arial"/>
          <w:b w:val="0"/>
          <w:i w:val="0"/>
          <w:sz w:val="21"/>
        </w:rPr>
        <w:t>The signal: Mr Price's OWN results language skews mildly positive (~1.3:1) — 'value', 'strength', 'agility', 'confident', 'operating leverage', 'conservative' — but with a visible caution cluster ('challenging', 'soft', 'dampened', 'diluted', 'lower'). The EXTERNAL/market voice around NKD is net negative (~0.7:1) — 'controversial', 'concern', 'rattled', 'fell', 'integration risk'. That split — franchise-positive, strategy-cautious — is the whole story: the SA business is described confidently, the offshore bet is described warily.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fill="1F3864"/>
          </w:tcPr>
          <w:p>
            <w:r/>
            <w:r>
              <w:rPr>
                <w:rFonts w:ascii="Arial" w:hAnsi="Arial"/>
                <w:b/>
                <w:i w:val="0"/>
                <w:color w:val="FFFFFF"/>
                <w:sz w:val="18"/>
              </w:rPr>
              <w:t>Source (captured extract)</w:t>
            </w:r>
          </w:p>
        </w:tc>
        <w:tc>
          <w:tcPr>
            <w:tcW w:type="dxa" w:w="1500"/>
            <w:shd w:val="clear" w:fill="375623"/>
          </w:tcPr>
          <w:p>
            <w:r/>
            <w:r>
              <w:rPr>
                <w:rFonts w:ascii="Arial" w:hAnsi="Arial"/>
                <w:b/>
                <w:i w:val="0"/>
                <w:color w:val="FFFFFF"/>
                <w:sz w:val="18"/>
              </w:rPr>
              <w:t>Positive hits</w:t>
            </w:r>
          </w:p>
        </w:tc>
        <w:tc>
          <w:tcPr>
            <w:tcW w:type="dxa" w:w="1500"/>
            <w:shd w:val="clear" w:fill="C00000"/>
          </w:tcPr>
          <w:p>
            <w:r/>
            <w:r>
              <w:rPr>
                <w:rFonts w:ascii="Arial" w:hAnsi="Arial"/>
                <w:b/>
                <w:i w:val="0"/>
                <w:color w:val="FFFFFF"/>
                <w:sz w:val="18"/>
              </w:rPr>
              <w:t>Negative hits</w:t>
            </w:r>
          </w:p>
        </w:tc>
        <w:tc>
          <w:tcPr>
            <w:tcW w:type="dxa" w:w="2760"/>
            <w:shd w:val="clear" w:fill="1F3864"/>
          </w:tcPr>
          <w:p>
            <w:r/>
            <w:r>
              <w:rPr>
                <w:rFonts w:ascii="Arial" w:hAnsi="Arial"/>
                <w:b/>
                <w:i w:val="0"/>
                <w:color w:val="FFFFFF"/>
                <w:sz w:val="18"/>
              </w:rPr>
              <w:t>Tone read</w:t>
            </w:r>
          </w:p>
        </w:tc>
      </w:tr>
      <w:tr>
        <w:tc>
          <w:tcPr>
            <w:tcW w:type="dxa" w:w="3600"/>
            <w:shd w:val="clear" w:fill="F2F2F2"/>
          </w:tcPr>
          <w:p>
            <w:r/>
            <w:r>
              <w:rPr>
                <w:rFonts w:ascii="Arial" w:hAnsi="Arial"/>
                <w:b/>
                <w:i w:val="0"/>
                <w:sz w:val="18"/>
              </w:rPr>
              <w:t>MRP FY2026 results commentary (5 Jun 2026)</w:t>
            </w:r>
          </w:p>
        </w:tc>
        <w:tc>
          <w:tcPr>
            <w:tcW w:type="dxa" w:w="1500"/>
          </w:tcPr>
          <w:p>
            <w:r/>
            <w:r>
              <w:rPr>
                <w:rFonts w:ascii="Arial" w:hAnsi="Arial"/>
                <w:b w:val="0"/>
                <w:i w:val="0"/>
                <w:sz w:val="18"/>
              </w:rPr>
              <w:t>9</w:t>
            </w:r>
          </w:p>
        </w:tc>
        <w:tc>
          <w:tcPr>
            <w:tcW w:type="dxa" w:w="1500"/>
          </w:tcPr>
          <w:p>
            <w:r/>
            <w:r>
              <w:rPr>
                <w:rFonts w:ascii="Arial" w:hAnsi="Arial"/>
                <w:b w:val="0"/>
                <w:i w:val="0"/>
                <w:sz w:val="18"/>
              </w:rPr>
              <w:t>7</w:t>
            </w:r>
          </w:p>
        </w:tc>
        <w:tc>
          <w:tcPr>
            <w:tcW w:type="dxa" w:w="2760"/>
          </w:tcPr>
          <w:p>
            <w:r/>
            <w:r>
              <w:rPr>
                <w:rFonts w:ascii="Arial" w:hAnsi="Arial"/>
                <w:b w:val="0"/>
                <w:i w:val="0"/>
                <w:sz w:val="18"/>
              </w:rPr>
              <w:t>Mildly positive / cautious</w:t>
            </w:r>
          </w:p>
        </w:tc>
      </w:tr>
      <w:tr>
        <w:tc>
          <w:tcPr>
            <w:tcW w:type="dxa" w:w="3600"/>
            <w:shd w:val="clear" w:fill="F2F2F2"/>
          </w:tcPr>
          <w:p>
            <w:r/>
            <w:r>
              <w:rPr>
                <w:rFonts w:ascii="Arial" w:hAnsi="Arial"/>
                <w:b/>
                <w:i w:val="0"/>
                <w:sz w:val="18"/>
              </w:rPr>
              <w:t>NKD deal &amp; market coverage (Dec 2025 – Mar 2026)</w:t>
            </w:r>
          </w:p>
        </w:tc>
        <w:tc>
          <w:tcPr>
            <w:tcW w:type="dxa" w:w="1500"/>
            <w:shd w:val="clear" w:fill="FAFAFA"/>
          </w:tcPr>
          <w:p>
            <w:r/>
            <w:r>
              <w:rPr>
                <w:rFonts w:ascii="Arial" w:hAnsi="Arial"/>
                <w:b w:val="0"/>
                <w:i w:val="0"/>
                <w:sz w:val="18"/>
              </w:rPr>
              <w:t>6</w:t>
            </w:r>
          </w:p>
        </w:tc>
        <w:tc>
          <w:tcPr>
            <w:tcW w:type="dxa" w:w="1500"/>
            <w:shd w:val="clear" w:fill="FAFAFA"/>
          </w:tcPr>
          <w:p>
            <w:r/>
            <w:r>
              <w:rPr>
                <w:rFonts w:ascii="Arial" w:hAnsi="Arial"/>
                <w:b w:val="0"/>
                <w:i w:val="0"/>
                <w:sz w:val="18"/>
              </w:rPr>
              <w:t>9</w:t>
            </w:r>
          </w:p>
        </w:tc>
        <w:tc>
          <w:tcPr>
            <w:tcW w:type="dxa" w:w="2760"/>
            <w:shd w:val="clear" w:fill="FAFAFA"/>
          </w:tcPr>
          <w:p>
            <w:r/>
            <w:r>
              <w:rPr>
                <w:rFonts w:ascii="Arial" w:hAnsi="Arial"/>
                <w:b w:val="0"/>
                <w:i w:val="0"/>
                <w:sz w:val="18"/>
              </w:rPr>
              <w:t>Net negative / wary</w:t>
            </w:r>
          </w:p>
        </w:tc>
      </w:tr>
    </w:tbl>
    <w:p>
      <w:pPr>
        <w:spacing w:after="40" w:before="0"/>
      </w:pPr>
    </w:p>
    <w:p>
      <w:pPr>
        <w:pStyle w:val="Heading2"/>
      </w:pPr>
      <w:r>
        <w:t>What the words map to</w:t>
      </w:r>
    </w:p>
    <w:tbl>
      <w:tblPr>
        <w:tblStyle w:val="TableGrid"/>
        <w:tblW w:type="auto" w:w="0"/>
        <w:jc w:val="center"/>
        <w:tblLook w:firstColumn="1" w:firstRow="1" w:lastColumn="0" w:lastRow="0" w:noHBand="0" w:noVBand="1" w:val="04A0"/>
      </w:tblPr>
      <w:tblGrid>
        <w:gridCol w:w="3120"/>
        <w:gridCol w:w="3120"/>
        <w:gridCol w:w="3120"/>
      </w:tblGrid>
      <w:tr>
        <w:tc>
          <w:tcPr>
            <w:tcW w:type="dxa" w:w="4300"/>
            <w:shd w:val="clear" w:fill="1F3864"/>
          </w:tcPr>
          <w:p>
            <w:r/>
            <w:r>
              <w:rPr>
                <w:rFonts w:ascii="Arial" w:hAnsi="Arial"/>
                <w:b/>
                <w:i w:val="0"/>
                <w:color w:val="FFFFFF"/>
                <w:sz w:val="18"/>
              </w:rPr>
              <w:t>Language signal (source)</w:t>
            </w:r>
          </w:p>
        </w:tc>
        <w:tc>
          <w:tcPr>
            <w:tcW w:type="dxa" w:w="1300"/>
            <w:shd w:val="clear" w:fill="808080"/>
          </w:tcPr>
          <w:p>
            <w:r/>
            <w:r>
              <w:rPr>
                <w:rFonts w:ascii="Arial" w:hAnsi="Arial"/>
                <w:b/>
                <w:i w:val="0"/>
                <w:color w:val="FFFFFF"/>
                <w:sz w:val="18"/>
              </w:rPr>
              <w:t>Polarity</w:t>
            </w:r>
          </w:p>
        </w:tc>
        <w:tc>
          <w:tcPr>
            <w:tcW w:type="dxa" w:w="3760"/>
            <w:shd w:val="clear" w:fill="2E5496"/>
          </w:tcPr>
          <w:p>
            <w:r/>
            <w:r>
              <w:rPr>
                <w:rFonts w:ascii="Arial" w:hAnsi="Arial"/>
                <w:b/>
                <w:i w:val="0"/>
                <w:color w:val="FFFFFF"/>
                <w:sz w:val="18"/>
              </w:rPr>
              <w:t>Reads through to</w:t>
            </w:r>
          </w:p>
        </w:tc>
      </w:tr>
      <w:tr>
        <w:tc>
          <w:tcPr>
            <w:tcW w:type="dxa" w:w="4300"/>
            <w:shd w:val="clear" w:fill="F2F2F2"/>
          </w:tcPr>
          <w:p>
            <w:r/>
            <w:r>
              <w:rPr>
                <w:rFonts w:ascii="Arial" w:hAnsi="Arial"/>
                <w:b/>
                <w:i w:val="0"/>
                <w:sz w:val="18"/>
              </w:rPr>
              <w:t>'agility of our operating model… strength of our value retailing DNA… operating leverage in a challenging retail environment… confident… perform across economic cycles' (CEO, FY2026)</w:t>
            </w:r>
          </w:p>
        </w:tc>
        <w:tc>
          <w:tcPr>
            <w:tcW w:type="dxa" w:w="1300"/>
          </w:tcPr>
          <w:p>
            <w:r/>
            <w:r>
              <w:rPr>
                <w:rFonts w:ascii="Arial" w:hAnsi="Arial"/>
                <w:b w:val="0"/>
                <w:i w:val="0"/>
                <w:sz w:val="18"/>
              </w:rPr>
              <w:t>Positive</w:t>
            </w:r>
          </w:p>
        </w:tc>
        <w:tc>
          <w:tcPr>
            <w:tcW w:type="dxa" w:w="3760"/>
          </w:tcPr>
          <w:p>
            <w:r/>
            <w:r>
              <w:rPr>
                <w:rFonts w:ascii="Arial" w:hAnsi="Arial"/>
                <w:b w:val="0"/>
                <w:i w:val="0"/>
                <w:sz w:val="18"/>
              </w:rPr>
              <w:t>SA franchise EARNINGS resilience — in-line to slight upgrade bias</w:t>
            </w:r>
          </w:p>
        </w:tc>
      </w:tr>
      <w:tr>
        <w:tc>
          <w:tcPr>
            <w:tcW w:type="dxa" w:w="4300"/>
            <w:shd w:val="clear" w:fill="F2F2F2"/>
          </w:tcPr>
          <w:p>
            <w:r/>
            <w:r>
              <w:rPr>
                <w:rFonts w:ascii="Arial" w:hAnsi="Arial"/>
                <w:b/>
                <w:i w:val="0"/>
                <w:sz w:val="18"/>
              </w:rPr>
              <w:t>operating profit +4.3%; cash sales 89.4%; 196 new stores; credit book 'managed conservatively' (FY2026)</w:t>
            </w:r>
          </w:p>
        </w:tc>
        <w:tc>
          <w:tcPr>
            <w:tcW w:type="dxa" w:w="1300"/>
            <w:shd w:val="clear" w:fill="FAFAFA"/>
          </w:tcPr>
          <w:p>
            <w:r/>
            <w:r>
              <w:rPr>
                <w:rFonts w:ascii="Arial" w:hAnsi="Arial"/>
                <w:b w:val="0"/>
                <w:i w:val="0"/>
                <w:sz w:val="18"/>
              </w:rPr>
              <w:t>Positive</w:t>
            </w:r>
          </w:p>
        </w:tc>
        <w:tc>
          <w:tcPr>
            <w:tcW w:type="dxa" w:w="3760"/>
            <w:shd w:val="clear" w:fill="FAFAFA"/>
          </w:tcPr>
          <w:p>
            <w:r/>
            <w:r>
              <w:rPr>
                <w:rFonts w:ascii="Arial" w:hAnsi="Arial"/>
                <w:b w:val="0"/>
                <w:i w:val="0"/>
                <w:sz w:val="18"/>
              </w:rPr>
              <w:t>Market position HELD; self-funded, low-risk growth</w:t>
            </w:r>
          </w:p>
        </w:tc>
      </w:tr>
      <w:tr>
        <w:tc>
          <w:tcPr>
            <w:tcW w:type="dxa" w:w="4300"/>
            <w:shd w:val="clear" w:fill="F2F2F2"/>
          </w:tcPr>
          <w:p>
            <w:r/>
            <w:r>
              <w:rPr>
                <w:rFonts w:ascii="Arial" w:hAnsi="Arial"/>
                <w:b/>
                <w:i w:val="0"/>
                <w:sz w:val="18"/>
              </w:rPr>
              <w:t>'earnings dampened' by once-off NKD transaction costs; statutory HEPS +2% vs normalised +8% (FY2026)</w:t>
            </w:r>
          </w:p>
        </w:tc>
        <w:tc>
          <w:tcPr>
            <w:tcW w:type="dxa" w:w="1300"/>
          </w:tcPr>
          <w:p>
            <w:r/>
            <w:r>
              <w:rPr>
                <w:rFonts w:ascii="Arial" w:hAnsi="Arial"/>
                <w:b w:val="0"/>
                <w:i w:val="0"/>
                <w:sz w:val="18"/>
              </w:rPr>
              <w:t>Negative</w:t>
            </w:r>
          </w:p>
        </w:tc>
        <w:tc>
          <w:tcPr>
            <w:tcW w:type="dxa" w:w="3760"/>
          </w:tcPr>
          <w:p>
            <w:r/>
            <w:r>
              <w:rPr>
                <w:rFonts w:ascii="Arial" w:hAnsi="Arial"/>
                <w:b w:val="0"/>
                <w:i w:val="0"/>
                <w:sz w:val="18"/>
              </w:rPr>
              <w:t>Reported EARNINGS drag — quality-of-earnings flag</w:t>
            </w:r>
          </w:p>
        </w:tc>
      </w:tr>
      <w:tr>
        <w:tc>
          <w:tcPr>
            <w:tcW w:type="dxa" w:w="4300"/>
            <w:shd w:val="clear" w:fill="F2F2F2"/>
          </w:tcPr>
          <w:p>
            <w:r/>
            <w:r>
              <w:rPr>
                <w:rFonts w:ascii="Arial" w:hAnsi="Arial"/>
                <w:b/>
                <w:i w:val="0"/>
                <w:sz w:val="18"/>
              </w:rPr>
              <w:t>'soft' discretionary demand; tough two-pot-boosted prior-year base; other revenue −1.9% (FY2026)</w:t>
            </w:r>
          </w:p>
        </w:tc>
        <w:tc>
          <w:tcPr>
            <w:tcW w:type="dxa" w:w="1300"/>
            <w:shd w:val="clear" w:fill="FAFAFA"/>
          </w:tcPr>
          <w:p>
            <w:r/>
            <w:r>
              <w:rPr>
                <w:rFonts w:ascii="Arial" w:hAnsi="Arial"/>
                <w:b w:val="0"/>
                <w:i w:val="0"/>
                <w:sz w:val="18"/>
              </w:rPr>
              <w:t>Negative</w:t>
            </w:r>
          </w:p>
        </w:tc>
        <w:tc>
          <w:tcPr>
            <w:tcW w:type="dxa" w:w="3760"/>
            <w:shd w:val="clear" w:fill="FAFAFA"/>
          </w:tcPr>
          <w:p>
            <w:r/>
            <w:r>
              <w:rPr>
                <w:rFonts w:ascii="Arial" w:hAnsi="Arial"/>
                <w:b w:val="0"/>
                <w:i w:val="0"/>
                <w:sz w:val="18"/>
              </w:rPr>
              <w:t>Top-line DECELERATION risk in SA</w:t>
            </w:r>
          </w:p>
        </w:tc>
      </w:tr>
      <w:tr>
        <w:tc>
          <w:tcPr>
            <w:tcW w:type="dxa" w:w="4300"/>
            <w:shd w:val="clear" w:fill="F2F2F2"/>
          </w:tcPr>
          <w:p>
            <w:r/>
            <w:r>
              <w:rPr>
                <w:rFonts w:ascii="Arial" w:hAnsi="Arial"/>
                <w:b/>
                <w:i w:val="0"/>
                <w:sz w:val="18"/>
              </w:rPr>
              <w:t>'controversial' R9.7bn purchase; investors 'rattled'; shares 'fell' 13.7%, ~R6bn wiped (NKD)</w:t>
            </w:r>
          </w:p>
        </w:tc>
        <w:tc>
          <w:tcPr>
            <w:tcW w:type="dxa" w:w="1300"/>
          </w:tcPr>
          <w:p>
            <w:r/>
            <w:r>
              <w:rPr>
                <w:rFonts w:ascii="Arial" w:hAnsi="Arial"/>
                <w:b w:val="0"/>
                <w:i w:val="0"/>
                <w:sz w:val="18"/>
              </w:rPr>
              <w:t>Negative</w:t>
            </w:r>
          </w:p>
        </w:tc>
        <w:tc>
          <w:tcPr>
            <w:tcW w:type="dxa" w:w="3760"/>
          </w:tcPr>
          <w:p>
            <w:r/>
            <w:r>
              <w:rPr>
                <w:rFonts w:ascii="Arial" w:hAnsi="Arial"/>
                <w:b w:val="0"/>
                <w:i w:val="0"/>
                <w:sz w:val="18"/>
              </w:rPr>
              <w:t>RATING / de-rating pressure</w:t>
            </w:r>
          </w:p>
        </w:tc>
      </w:tr>
      <w:tr>
        <w:tc>
          <w:tcPr>
            <w:tcW w:type="dxa" w:w="4300"/>
            <w:shd w:val="clear" w:fill="F2F2F2"/>
          </w:tcPr>
          <w:p>
            <w:r/>
            <w:r>
              <w:rPr>
                <w:rFonts w:ascii="Arial" w:hAnsi="Arial"/>
                <w:b/>
                <w:i w:val="0"/>
                <w:sz w:val="18"/>
              </w:rPr>
              <w:t>'integration risk'; first material offshore business; large EUR translation exposure; ends net-cash balance sheet (NKD)</w:t>
            </w:r>
          </w:p>
        </w:tc>
        <w:tc>
          <w:tcPr>
            <w:tcW w:type="dxa" w:w="1300"/>
            <w:shd w:val="clear" w:fill="FAFAFA"/>
          </w:tcPr>
          <w:p>
            <w:r/>
            <w:r>
              <w:rPr>
                <w:rFonts w:ascii="Arial" w:hAnsi="Arial"/>
                <w:b w:val="0"/>
                <w:i w:val="0"/>
                <w:sz w:val="18"/>
              </w:rPr>
              <w:t>Negative</w:t>
            </w:r>
          </w:p>
        </w:tc>
        <w:tc>
          <w:tcPr>
            <w:tcW w:type="dxa" w:w="3760"/>
            <w:shd w:val="clear" w:fill="FAFAFA"/>
          </w:tcPr>
          <w:p>
            <w:r/>
            <w:r>
              <w:rPr>
                <w:rFonts w:ascii="Arial" w:hAnsi="Arial"/>
                <w:b w:val="0"/>
                <w:i w:val="0"/>
                <w:sz w:val="18"/>
              </w:rPr>
              <w:t>Execution + FX RISK; balance sheet geared up</w:t>
            </w:r>
          </w:p>
        </w:tc>
      </w:tr>
      <w:tr>
        <w:tc>
          <w:tcPr>
            <w:tcW w:type="dxa" w:w="4300"/>
            <w:shd w:val="clear" w:fill="F2F2F2"/>
          </w:tcPr>
          <w:p>
            <w:r/>
            <w:r>
              <w:rPr>
                <w:rFonts w:ascii="Arial" w:hAnsi="Arial"/>
                <w:b/>
                <w:i w:val="0"/>
                <w:sz w:val="18"/>
              </w:rPr>
              <w:t>&gt;2,000 stores; 'more than doubles' footprint; combined revenue toward ~R53bn; value model 'aligned' (NKD)</w:t>
            </w:r>
          </w:p>
        </w:tc>
        <w:tc>
          <w:tcPr>
            <w:tcW w:type="dxa" w:w="1300"/>
          </w:tcPr>
          <w:p>
            <w:r/>
            <w:r>
              <w:rPr>
                <w:rFonts w:ascii="Arial" w:hAnsi="Arial"/>
                <w:b w:val="0"/>
                <w:i w:val="0"/>
                <w:sz w:val="18"/>
              </w:rPr>
              <w:t>Positive</w:t>
            </w:r>
          </w:p>
        </w:tc>
        <w:tc>
          <w:tcPr>
            <w:tcW w:type="dxa" w:w="3760"/>
          </w:tcPr>
          <w:p>
            <w:r/>
            <w:r>
              <w:rPr>
                <w:rFonts w:ascii="Arial" w:hAnsi="Arial"/>
                <w:b w:val="0"/>
                <w:i w:val="0"/>
                <w:sz w:val="18"/>
              </w:rPr>
              <w:t>Medium-term GROWTH optionality IF the turnaround works</w:t>
            </w:r>
          </w:p>
        </w:tc>
      </w:tr>
    </w:tbl>
    <w:p>
      <w:pPr>
        <w:spacing w:after="40" w:before="0"/>
      </w:pPr>
    </w:p>
    <w:p>
      <w:pPr>
        <w:spacing w:after="120" w:before="0"/>
      </w:pPr>
      <w:r>
        <w:rPr>
          <w:rFonts w:ascii="Arial" w:hAnsi="Arial"/>
          <w:b w:val="0"/>
          <w:i w:val="0"/>
          <w:sz w:val="21"/>
        </w:rPr>
        <w:t>Net read: the company's own disclosures still skew positive on the SA franchise (operating leverage, cash generation, store growth, share) while flagging a soft consumer; the bearish voice is the external/market one and is aimed at the NKD bet and the rating. Translating to the three asks — earnings: improving but decelerating in SA, with FY2027 reported growth hostage to NKD's first-year P&amp;L (in-line, slight-upgrade bias on normalised numbers); market share: held/edging up in SA value retail; rating: downgrade-biased until NKD shows it can turn profitable without impairment.</w:t>
      </w:r>
    </w:p>
    <w:p>
      <w:pPr>
        <w:pStyle w:val="Heading1"/>
      </w:pPr>
      <w:r>
        <w:t>4. Scenario framework — the drivers</w:t>
      </w:r>
    </w:p>
    <w:p>
      <w:pPr>
        <w:spacing w:after="120" w:before="0"/>
      </w:pPr>
      <w:r>
        <w:rPr>
          <w:rFonts w:ascii="Arial" w:hAnsi="Arial"/>
          <w:b w:val="0"/>
          <w:i w:val="0"/>
          <w:sz w:val="21"/>
        </w:rPr>
        <w:t>Scenarios are framed on the SA consumer cycle and the NKD turnaround/EUR path rather than a single macro shock. Driver levels are analyst assumptions (e).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fill="1F3864"/>
          </w:tcPr>
          <w:p>
            <w:r/>
            <w:r>
              <w:rPr>
                <w:rFonts w:ascii="Arial" w:hAnsi="Arial"/>
                <w:b/>
                <w:i w:val="0"/>
                <w:color w:val="FFFFFF"/>
                <w:sz w:val="18"/>
              </w:rPr>
              <w:t>Driver</w:t>
            </w:r>
          </w:p>
        </w:tc>
        <w:tc>
          <w:tcPr>
            <w:tcW w:type="dxa" w:w="2400"/>
            <w:shd w:val="clear" w:fill="375623"/>
          </w:tcPr>
          <w:p>
            <w:r/>
            <w:r>
              <w:rPr>
                <w:rFonts w:ascii="Arial" w:hAnsi="Arial"/>
                <w:b/>
                <w:i w:val="0"/>
                <w:color w:val="FFFFFF"/>
                <w:sz w:val="18"/>
              </w:rPr>
              <w:t>Bull</w:t>
            </w:r>
          </w:p>
        </w:tc>
        <w:tc>
          <w:tcPr>
            <w:tcW w:type="dxa" w:w="2400"/>
            <w:shd w:val="clear" w:fill="808080"/>
          </w:tcPr>
          <w:p>
            <w:r/>
            <w:r>
              <w:rPr>
                <w:rFonts w:ascii="Arial" w:hAnsi="Arial"/>
                <w:b/>
                <w:i w:val="0"/>
                <w:color w:val="FFFFFF"/>
                <w:sz w:val="18"/>
              </w:rPr>
              <w:t>Neutral</w:t>
            </w:r>
          </w:p>
        </w:tc>
        <w:tc>
          <w:tcPr>
            <w:tcW w:type="dxa" w:w="2400"/>
            <w:shd w:val="clear" w:fill="C00000"/>
          </w:tcPr>
          <w:p>
            <w:r/>
            <w:r>
              <w:rPr>
                <w:rFonts w:ascii="Arial" w:hAnsi="Arial"/>
                <w:b/>
                <w:i w:val="0"/>
                <w:color w:val="FFFFFF"/>
                <w:sz w:val="18"/>
              </w:rPr>
              <w:t>Bear</w:t>
            </w:r>
          </w:p>
        </w:tc>
      </w:tr>
      <w:tr>
        <w:tc>
          <w:tcPr>
            <w:tcW w:type="dxa" w:w="2160"/>
            <w:shd w:val="clear" w:fill="F2F2F2"/>
          </w:tcPr>
          <w:p>
            <w:r/>
            <w:r>
              <w:rPr>
                <w:rFonts w:ascii="Arial" w:hAnsi="Arial"/>
                <w:b/>
                <w:i w:val="0"/>
                <w:sz w:val="18"/>
              </w:rPr>
              <w:t>SA consumer / disposable income</w:t>
            </w:r>
          </w:p>
        </w:tc>
        <w:tc>
          <w:tcPr>
            <w:tcW w:type="dxa" w:w="2400"/>
          </w:tcPr>
          <w:p>
            <w:r/>
            <w:r>
              <w:rPr>
                <w:rFonts w:ascii="Arial" w:hAnsi="Arial"/>
                <w:b w:val="0"/>
                <w:i w:val="0"/>
                <w:sz w:val="18"/>
              </w:rPr>
              <w:t>Rate-cut cycle resumes; real income recovers; discretionary spend turns up</w:t>
            </w:r>
          </w:p>
        </w:tc>
        <w:tc>
          <w:tcPr>
            <w:tcW w:type="dxa" w:w="2400"/>
          </w:tcPr>
          <w:p>
            <w:r/>
            <w:r>
              <w:rPr>
                <w:rFonts w:ascii="Arial" w:hAnsi="Arial"/>
                <w:b w:val="0"/>
                <w:i w:val="0"/>
                <w:sz w:val="18"/>
              </w:rPr>
              <w:t>Constrained but stable; low-single-digit real income</w:t>
            </w:r>
          </w:p>
        </w:tc>
        <w:tc>
          <w:tcPr>
            <w:tcW w:type="dxa" w:w="2400"/>
          </w:tcPr>
          <w:p>
            <w:r/>
            <w:r>
              <w:rPr>
                <w:rFonts w:ascii="Arial" w:hAnsi="Arial"/>
                <w:b w:val="0"/>
                <w:i w:val="0"/>
                <w:sz w:val="18"/>
              </w:rPr>
              <w:t>Sticky inflation + fuel; rates high; income squeezed</w:t>
            </w:r>
          </w:p>
        </w:tc>
      </w:tr>
      <w:tr>
        <w:tc>
          <w:tcPr>
            <w:tcW w:type="dxa" w:w="2160"/>
            <w:shd w:val="clear" w:fill="F2F2F2"/>
          </w:tcPr>
          <w:p>
            <w:r/>
            <w:r>
              <w:rPr>
                <w:rFonts w:ascii="Arial" w:hAnsi="Arial"/>
                <w:b/>
                <w:i w:val="0"/>
                <w:sz w:val="18"/>
              </w:rPr>
              <w:t>SARB rates / inflation</w:t>
            </w:r>
          </w:p>
        </w:tc>
        <w:tc>
          <w:tcPr>
            <w:tcW w:type="dxa" w:w="2400"/>
            <w:shd w:val="clear" w:fill="FAFAFA"/>
          </w:tcPr>
          <w:p>
            <w:r/>
            <w:r>
              <w:rPr>
                <w:rFonts w:ascii="Arial" w:hAnsi="Arial"/>
                <w:b w:val="0"/>
                <w:i w:val="0"/>
                <w:sz w:val="18"/>
              </w:rPr>
              <w:t>Easing through FY2028; CPI ~3–4%</w:t>
            </w:r>
          </w:p>
        </w:tc>
        <w:tc>
          <w:tcPr>
            <w:tcW w:type="dxa" w:w="2400"/>
            <w:shd w:val="clear" w:fill="FAFAFA"/>
          </w:tcPr>
          <w:p>
            <w:r/>
            <w:r>
              <w:rPr>
                <w:rFonts w:ascii="Arial" w:hAnsi="Arial"/>
                <w:b w:val="0"/>
                <w:i w:val="0"/>
                <w:sz w:val="18"/>
              </w:rPr>
              <w:t>Late-May 2026 25bp hike is the peak; on hold; CPI ~4.5%</w:t>
            </w:r>
          </w:p>
        </w:tc>
        <w:tc>
          <w:tcPr>
            <w:tcW w:type="dxa" w:w="2400"/>
            <w:shd w:val="clear" w:fill="FAFAFA"/>
          </w:tcPr>
          <w:p>
            <w:r/>
            <w:r>
              <w:rPr>
                <w:rFonts w:ascii="Arial" w:hAnsi="Arial"/>
                <w:b w:val="0"/>
                <w:i w:val="0"/>
                <w:sz w:val="18"/>
              </w:rPr>
              <w:t>Further hikes / no cuts; CPI 5%+</w:t>
            </w:r>
          </w:p>
        </w:tc>
      </w:tr>
      <w:tr>
        <w:tc>
          <w:tcPr>
            <w:tcW w:type="dxa" w:w="2160"/>
            <w:shd w:val="clear" w:fill="F2F2F2"/>
          </w:tcPr>
          <w:p>
            <w:r/>
            <w:r>
              <w:rPr>
                <w:rFonts w:ascii="Arial" w:hAnsi="Arial"/>
                <w:b/>
                <w:i w:val="0"/>
                <w:sz w:val="18"/>
              </w:rPr>
              <w:t>RSP inflation / volumes</w:t>
            </w:r>
          </w:p>
        </w:tc>
        <w:tc>
          <w:tcPr>
            <w:tcW w:type="dxa" w:w="2400"/>
          </w:tcPr>
          <w:p>
            <w:r/>
            <w:r>
              <w:rPr>
                <w:rFonts w:ascii="Arial" w:hAnsi="Arial"/>
                <w:b w:val="0"/>
                <w:i w:val="0"/>
                <w:sz w:val="18"/>
              </w:rPr>
              <w:t>Volumes turn positive; RSP ~4%</w:t>
            </w:r>
          </w:p>
        </w:tc>
        <w:tc>
          <w:tcPr>
            <w:tcW w:type="dxa" w:w="2400"/>
          </w:tcPr>
          <w:p>
            <w:r/>
            <w:r>
              <w:rPr>
                <w:rFonts w:ascii="Arial" w:hAnsi="Arial"/>
                <w:b w:val="0"/>
                <w:i w:val="0"/>
                <w:sz w:val="18"/>
              </w:rPr>
              <w:t>RSP ~4%; broadly flat volumes</w:t>
            </w:r>
          </w:p>
        </w:tc>
        <w:tc>
          <w:tcPr>
            <w:tcW w:type="dxa" w:w="2400"/>
          </w:tcPr>
          <w:p>
            <w:r/>
            <w:r>
              <w:rPr>
                <w:rFonts w:ascii="Arial" w:hAnsi="Arial"/>
                <w:b w:val="0"/>
                <w:i w:val="0"/>
                <w:sz w:val="18"/>
              </w:rPr>
              <w:t>Price wars / deflation; negative volumes</w:t>
            </w:r>
          </w:p>
        </w:tc>
      </w:tr>
      <w:tr>
        <w:tc>
          <w:tcPr>
            <w:tcW w:type="dxa" w:w="2160"/>
            <w:shd w:val="clear" w:fill="F2F2F2"/>
          </w:tcPr>
          <w:p>
            <w:r/>
            <w:r>
              <w:rPr>
                <w:rFonts w:ascii="Arial" w:hAnsi="Arial"/>
                <w:b/>
                <w:i w:val="0"/>
                <w:sz w:val="18"/>
              </w:rPr>
              <w:t>EUR/ZAR translation (NKD)</w:t>
            </w:r>
          </w:p>
        </w:tc>
        <w:tc>
          <w:tcPr>
            <w:tcW w:type="dxa" w:w="2400"/>
            <w:shd w:val="clear" w:fill="FAFAFA"/>
          </w:tcPr>
          <w:p>
            <w:r/>
            <w:r>
              <w:rPr>
                <w:rFonts w:ascii="Arial" w:hAnsi="Arial"/>
                <w:b w:val="0"/>
                <w:i w:val="0"/>
                <w:sz w:val="18"/>
              </w:rPr>
              <w:t>Stable-to-soft EUR aids cost base; clean translation</w:t>
            </w:r>
          </w:p>
        </w:tc>
        <w:tc>
          <w:tcPr>
            <w:tcW w:type="dxa" w:w="2400"/>
            <w:shd w:val="clear" w:fill="FAFAFA"/>
          </w:tcPr>
          <w:p>
            <w:r/>
            <w:r>
              <w:rPr>
                <w:rFonts w:ascii="Arial" w:hAnsi="Arial"/>
                <w:b w:val="0"/>
                <w:i w:val="0"/>
                <w:sz w:val="18"/>
              </w:rPr>
              <w:t>Range-bound; modest translation noise</w:t>
            </w:r>
          </w:p>
        </w:tc>
        <w:tc>
          <w:tcPr>
            <w:tcW w:type="dxa" w:w="2400"/>
            <w:shd w:val="clear" w:fill="FAFAFA"/>
          </w:tcPr>
          <w:p>
            <w:r/>
            <w:r>
              <w:rPr>
                <w:rFonts w:ascii="Arial" w:hAnsi="Arial"/>
                <w:b w:val="0"/>
                <w:i w:val="0"/>
                <w:sz w:val="18"/>
              </w:rPr>
              <w:t>Rand weakness + EUR volatility; adverse translation</w:t>
            </w:r>
          </w:p>
        </w:tc>
      </w:tr>
      <w:tr>
        <w:tc>
          <w:tcPr>
            <w:tcW w:type="dxa" w:w="2160"/>
            <w:shd w:val="clear" w:fill="F2F2F2"/>
          </w:tcPr>
          <w:p>
            <w:r/>
            <w:r>
              <w:rPr>
                <w:rFonts w:ascii="Arial" w:hAnsi="Arial"/>
                <w:b/>
                <w:i w:val="0"/>
                <w:sz w:val="18"/>
              </w:rPr>
              <w:t>NKD integration</w:t>
            </w:r>
          </w:p>
        </w:tc>
        <w:tc>
          <w:tcPr>
            <w:tcW w:type="dxa" w:w="2400"/>
          </w:tcPr>
          <w:p>
            <w:r/>
            <w:r>
              <w:rPr>
                <w:rFonts w:ascii="Arial" w:hAnsi="Arial"/>
                <w:b w:val="0"/>
                <w:i w:val="0"/>
                <w:sz w:val="18"/>
              </w:rPr>
              <w:t>Ahead of plan; turns profitable early; synergies land</w:t>
            </w:r>
          </w:p>
        </w:tc>
        <w:tc>
          <w:tcPr>
            <w:tcW w:type="dxa" w:w="2400"/>
          </w:tcPr>
          <w:p>
            <w:r/>
            <w:r>
              <w:rPr>
                <w:rFonts w:ascii="Arial" w:hAnsi="Arial"/>
                <w:b w:val="0"/>
                <w:i w:val="0"/>
                <w:sz w:val="18"/>
              </w:rPr>
              <w:t>On plan; near-breakeven year 1, building</w:t>
            </w:r>
          </w:p>
        </w:tc>
        <w:tc>
          <w:tcPr>
            <w:tcW w:type="dxa" w:w="2400"/>
          </w:tcPr>
          <w:p>
            <w:r/>
            <w:r>
              <w:rPr>
                <w:rFonts w:ascii="Arial" w:hAnsi="Arial"/>
                <w:b w:val="0"/>
                <w:i w:val="0"/>
                <w:sz w:val="18"/>
              </w:rPr>
              <w:t>Overruns; NKD loss-making; goodwill impairment risk</w:t>
            </w:r>
          </w:p>
        </w:tc>
      </w:tr>
      <w:tr>
        <w:tc>
          <w:tcPr>
            <w:tcW w:type="dxa" w:w="2160"/>
            <w:shd w:val="clear" w:fill="F2F2F2"/>
          </w:tcPr>
          <w:p>
            <w:r/>
            <w:r>
              <w:rPr>
                <w:rFonts w:ascii="Arial" w:hAnsi="Arial"/>
                <w:b/>
                <w:i w:val="0"/>
                <w:sz w:val="18"/>
              </w:rPr>
              <w:t>Capital allocation / gearing</w:t>
            </w:r>
          </w:p>
        </w:tc>
        <w:tc>
          <w:tcPr>
            <w:tcW w:type="dxa" w:w="2400"/>
            <w:shd w:val="clear" w:fill="FAFAFA"/>
          </w:tcPr>
          <w:p>
            <w:r/>
            <w:r>
              <w:rPr>
                <w:rFonts w:ascii="Arial" w:hAnsi="Arial"/>
                <w:b w:val="0"/>
                <w:i w:val="0"/>
                <w:sz w:val="18"/>
              </w:rPr>
              <w:t>Deal self-funds quickly; ~63% payout held</w:t>
            </w:r>
          </w:p>
        </w:tc>
        <w:tc>
          <w:tcPr>
            <w:tcW w:type="dxa" w:w="2400"/>
            <w:shd w:val="clear" w:fill="FAFAFA"/>
          </w:tcPr>
          <w:p>
            <w:r/>
            <w:r>
              <w:rPr>
                <w:rFonts w:ascii="Arial" w:hAnsi="Arial"/>
                <w:b w:val="0"/>
                <w:i w:val="0"/>
                <w:sz w:val="18"/>
              </w:rPr>
              <w:t>Modest gearing; payout held</w:t>
            </w:r>
          </w:p>
        </w:tc>
        <w:tc>
          <w:tcPr>
            <w:tcW w:type="dxa" w:w="2400"/>
            <w:shd w:val="clear" w:fill="FAFAFA"/>
          </w:tcPr>
          <w:p>
            <w:r/>
            <w:r>
              <w:rPr>
                <w:rFonts w:ascii="Arial" w:hAnsi="Arial"/>
                <w:b w:val="0"/>
                <w:i w:val="0"/>
                <w:sz w:val="18"/>
              </w:rPr>
              <w:t>Gearing sticky; payout trimmed during integration</w:t>
            </w:r>
          </w:p>
        </w:tc>
      </w:tr>
    </w:tbl>
    <w:p>
      <w:pPr>
        <w:spacing w:after="40" w:before="0"/>
      </w:pPr>
    </w:p>
    <w:p>
      <w:pPr>
        <w:pStyle w:val="Heading1"/>
      </w:pPr>
      <w:r>
        <w:t>5. Projections — FY2027E and FY2028E by scenario</w:t>
      </w:r>
    </w:p>
    <w:p>
      <w:pPr>
        <w:spacing w:after="120" w:before="0"/>
      </w:pPr>
      <w:r>
        <w:rPr>
          <w:rFonts w:ascii="Arial" w:hAnsi="Arial"/>
          <w:b w:val="0"/>
          <w:i w:val="0"/>
          <w:sz w:val="21"/>
        </w:rPr>
        <w:t>All forward figures are analyst estimates (e), built off the FY2026 sacred anchors and a normalised FY2026 diluted-HEPS base of ~1,489c (the clean base once once-off NKD costs drop out). FY2027 is the first NKD consolidation year — group revenue therefore steps up ~30% on consolidation, which is NOT organic growth; NKD is revenue-heavy but earnings-light in year one. Diluted-HEPS growth is shown versus the FY2026 normalised base.</w:t>
      </w:r>
    </w:p>
    <w:p>
      <w:pPr>
        <w:pStyle w:val="Heading2"/>
      </w:pPr>
      <w:r>
        <w:t>FY2027E (the 2026/27 year — first NKD consolidation)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60"/>
            <w:shd w:val="clear" w:fill="1F3864"/>
          </w:tcPr>
          <w:p>
            <w:r/>
            <w:r>
              <w:rPr>
                <w:rFonts w:ascii="Arial" w:hAnsi="Arial"/>
                <w:b/>
                <w:i w:val="0"/>
                <w:color w:val="FFFFFF"/>
                <w:sz w:val="18"/>
              </w:rPr>
              <w:t>Metric</w:t>
            </w:r>
          </w:p>
        </w:tc>
        <w:tc>
          <w:tcPr>
            <w:tcW w:type="dxa" w:w="1700"/>
            <w:shd w:val="clear" w:fill="1F3864"/>
          </w:tcPr>
          <w:p>
            <w:r/>
            <w:r>
              <w:rPr>
                <w:rFonts w:ascii="Arial" w:hAnsi="Arial"/>
                <w:b/>
                <w:i w:val="0"/>
                <w:color w:val="FFFFFF"/>
                <w:sz w:val="18"/>
              </w:rPr>
              <w:t>FY2026A (anchor)</w:t>
            </w:r>
          </w:p>
        </w:tc>
        <w:tc>
          <w:tcPr>
            <w:tcW w:type="dxa" w:w="1700"/>
            <w:shd w:val="clear" w:fill="375623"/>
          </w:tcPr>
          <w:p>
            <w:r/>
            <w:r>
              <w:rPr>
                <w:rFonts w:ascii="Arial" w:hAnsi="Arial"/>
                <w:b/>
                <w:i w:val="0"/>
                <w:color w:val="FFFFFF"/>
                <w:sz w:val="18"/>
              </w:rPr>
              <w:t>Bull (e)</w:t>
            </w:r>
          </w:p>
        </w:tc>
        <w:tc>
          <w:tcPr>
            <w:tcW w:type="dxa" w:w="1700"/>
            <w:shd w:val="clear" w:fill="808080"/>
          </w:tcPr>
          <w:p>
            <w:r/>
            <w:r>
              <w:rPr>
                <w:rFonts w:ascii="Arial" w:hAnsi="Arial"/>
                <w:b/>
                <w:i w:val="0"/>
                <w:color w:val="FFFFFF"/>
                <w:sz w:val="18"/>
              </w:rPr>
              <w:t>Neutral (e)</w:t>
            </w:r>
          </w:p>
        </w:tc>
        <w:tc>
          <w:tcPr>
            <w:tcW w:type="dxa" w:w="1700"/>
            <w:shd w:val="clear" w:fill="C00000"/>
          </w:tcPr>
          <w:p>
            <w:r/>
            <w:r>
              <w:rPr>
                <w:rFonts w:ascii="Arial" w:hAnsi="Arial"/>
                <w:b/>
                <w:i w:val="0"/>
                <w:color w:val="FFFFFF"/>
                <w:sz w:val="18"/>
              </w:rPr>
              <w:t>Bear (e)</w:t>
            </w:r>
          </w:p>
        </w:tc>
      </w:tr>
      <w:tr>
        <w:tc>
          <w:tcPr>
            <w:tcW w:type="dxa" w:w="2560"/>
            <w:shd w:val="clear" w:fill="F2F2F2"/>
          </w:tcPr>
          <w:p>
            <w:r/>
            <w:r>
              <w:rPr>
                <w:rFonts w:ascii="Arial" w:hAnsi="Arial"/>
                <w:b/>
                <w:i w:val="0"/>
                <w:sz w:val="18"/>
              </w:rPr>
              <w:t>SA retail sales (R'm)</w:t>
            </w:r>
          </w:p>
        </w:tc>
        <w:tc>
          <w:tcPr>
            <w:tcW w:type="dxa" w:w="1700"/>
          </w:tcPr>
          <w:p>
            <w:r/>
            <w:r>
              <w:rPr>
                <w:rFonts w:ascii="Arial" w:hAnsi="Arial"/>
                <w:b w:val="0"/>
                <w:i w:val="0"/>
                <w:sz w:val="18"/>
              </w:rPr>
              <w:t>41,100</w:t>
            </w:r>
          </w:p>
        </w:tc>
        <w:tc>
          <w:tcPr>
            <w:tcW w:type="dxa" w:w="1700"/>
          </w:tcPr>
          <w:p>
            <w:r/>
            <w:r>
              <w:rPr>
                <w:rFonts w:ascii="Arial" w:hAnsi="Arial"/>
                <w:b w:val="0"/>
                <w:i w:val="0"/>
                <w:sz w:val="18"/>
              </w:rPr>
              <w:t>43,977 (+7%)</w:t>
            </w:r>
          </w:p>
        </w:tc>
        <w:tc>
          <w:tcPr>
            <w:tcW w:type="dxa" w:w="1700"/>
          </w:tcPr>
          <w:p>
            <w:r/>
            <w:r>
              <w:rPr>
                <w:rFonts w:ascii="Arial" w:hAnsi="Arial"/>
                <w:b w:val="0"/>
                <w:i w:val="0"/>
                <w:sz w:val="18"/>
              </w:rPr>
              <w:t>43,155 (+5%)</w:t>
            </w:r>
          </w:p>
        </w:tc>
        <w:tc>
          <w:tcPr>
            <w:tcW w:type="dxa" w:w="1700"/>
          </w:tcPr>
          <w:p>
            <w:r/>
            <w:r>
              <w:rPr>
                <w:rFonts w:ascii="Arial" w:hAnsi="Arial"/>
                <w:b w:val="0"/>
                <w:i w:val="0"/>
                <w:sz w:val="18"/>
              </w:rPr>
              <w:t>42,333 (+3%)</w:t>
            </w:r>
          </w:p>
        </w:tc>
      </w:tr>
      <w:tr>
        <w:tc>
          <w:tcPr>
            <w:tcW w:type="dxa" w:w="2560"/>
            <w:shd w:val="clear" w:fill="F2F2F2"/>
          </w:tcPr>
          <w:p>
            <w:r/>
            <w:r>
              <w:rPr>
                <w:rFonts w:ascii="Arial" w:hAnsi="Arial"/>
                <w:b/>
                <w:i w:val="0"/>
                <w:sz w:val="18"/>
              </w:rPr>
              <w:t>NKD revenue contribution (R'm)</w:t>
            </w:r>
          </w:p>
        </w:tc>
        <w:tc>
          <w:tcPr>
            <w:tcW w:type="dxa" w:w="1700"/>
            <w:shd w:val="clear" w:fill="FAFAFA"/>
          </w:tcPr>
          <w:p>
            <w:r/>
            <w:r>
              <w:rPr>
                <w:rFonts w:ascii="Arial" w:hAnsi="Arial"/>
                <w:b w:val="0"/>
                <w:i w:val="0"/>
                <w:sz w:val="18"/>
              </w:rPr>
              <w:t>—</w:t>
            </w:r>
          </w:p>
        </w:tc>
        <w:tc>
          <w:tcPr>
            <w:tcW w:type="dxa" w:w="1700"/>
            <w:shd w:val="clear" w:fill="FAFAFA"/>
          </w:tcPr>
          <w:p>
            <w:r/>
            <w:r>
              <w:rPr>
                <w:rFonts w:ascii="Arial" w:hAnsi="Arial"/>
                <w:b w:val="0"/>
                <w:i w:val="0"/>
                <w:sz w:val="18"/>
              </w:rPr>
              <w:t>13,500</w:t>
            </w:r>
          </w:p>
        </w:tc>
        <w:tc>
          <w:tcPr>
            <w:tcW w:type="dxa" w:w="1700"/>
            <w:shd w:val="clear" w:fill="FAFAFA"/>
          </w:tcPr>
          <w:p>
            <w:r/>
            <w:r>
              <w:rPr>
                <w:rFonts w:ascii="Arial" w:hAnsi="Arial"/>
                <w:b w:val="0"/>
                <w:i w:val="0"/>
                <w:sz w:val="18"/>
              </w:rPr>
              <w:t>12,500</w:t>
            </w:r>
          </w:p>
        </w:tc>
        <w:tc>
          <w:tcPr>
            <w:tcW w:type="dxa" w:w="1700"/>
            <w:shd w:val="clear" w:fill="FAFAFA"/>
          </w:tcPr>
          <w:p>
            <w:r/>
            <w:r>
              <w:rPr>
                <w:rFonts w:ascii="Arial" w:hAnsi="Arial"/>
                <w:b w:val="0"/>
                <w:i w:val="0"/>
                <w:sz w:val="18"/>
              </w:rPr>
              <w:t>11,500</w:t>
            </w:r>
          </w:p>
        </w:tc>
      </w:tr>
      <w:tr>
        <w:tc>
          <w:tcPr>
            <w:tcW w:type="dxa" w:w="2560"/>
            <w:shd w:val="clear" w:fill="F2F2F2"/>
          </w:tcPr>
          <w:p>
            <w:r/>
            <w:r>
              <w:rPr>
                <w:rFonts w:ascii="Arial" w:hAnsi="Arial"/>
                <w:b/>
                <w:i w:val="0"/>
                <w:sz w:val="18"/>
              </w:rPr>
              <w:t>Group revenue incl. NKD (R'm)</w:t>
            </w:r>
          </w:p>
        </w:tc>
        <w:tc>
          <w:tcPr>
            <w:tcW w:type="dxa" w:w="1700"/>
          </w:tcPr>
          <w:p>
            <w:r/>
            <w:r>
              <w:rPr>
                <w:rFonts w:ascii="Arial" w:hAnsi="Arial"/>
                <w:b w:val="0"/>
                <w:i w:val="0"/>
                <w:sz w:val="18"/>
              </w:rPr>
              <w:t>42,700</w:t>
            </w:r>
          </w:p>
        </w:tc>
        <w:tc>
          <w:tcPr>
            <w:tcW w:type="dxa" w:w="1700"/>
          </w:tcPr>
          <w:p>
            <w:r/>
            <w:r>
              <w:rPr>
                <w:rFonts w:ascii="Arial" w:hAnsi="Arial"/>
                <w:b w:val="0"/>
                <w:i w:val="0"/>
                <w:sz w:val="18"/>
              </w:rPr>
              <w:t>~58,800</w:t>
            </w:r>
          </w:p>
        </w:tc>
        <w:tc>
          <w:tcPr>
            <w:tcW w:type="dxa" w:w="1700"/>
          </w:tcPr>
          <w:p>
            <w:r/>
            <w:r>
              <w:rPr>
                <w:rFonts w:ascii="Arial" w:hAnsi="Arial"/>
                <w:b w:val="0"/>
                <w:i w:val="0"/>
                <w:sz w:val="18"/>
              </w:rPr>
              <w:t>~57,000</w:t>
            </w:r>
          </w:p>
        </w:tc>
        <w:tc>
          <w:tcPr>
            <w:tcW w:type="dxa" w:w="1700"/>
          </w:tcPr>
          <w:p>
            <w:r/>
            <w:r>
              <w:rPr>
                <w:rFonts w:ascii="Arial" w:hAnsi="Arial"/>
                <w:b w:val="0"/>
                <w:i w:val="0"/>
                <w:sz w:val="18"/>
              </w:rPr>
              <w:t>~55,100</w:t>
            </w:r>
          </w:p>
        </w:tc>
      </w:tr>
      <w:tr>
        <w:tc>
          <w:tcPr>
            <w:tcW w:type="dxa" w:w="2560"/>
            <w:shd w:val="clear" w:fill="F2F2F2"/>
          </w:tcPr>
          <w:p>
            <w:r/>
            <w:r>
              <w:rPr>
                <w:rFonts w:ascii="Arial" w:hAnsi="Arial"/>
                <w:b/>
                <w:i w:val="0"/>
                <w:sz w:val="18"/>
              </w:rPr>
              <w:t>Group operating profit (R'm)</w:t>
            </w:r>
          </w:p>
        </w:tc>
        <w:tc>
          <w:tcPr>
            <w:tcW w:type="dxa" w:w="1700"/>
            <w:shd w:val="clear" w:fill="FAFAFA"/>
          </w:tcPr>
          <w:p>
            <w:r/>
            <w:r>
              <w:rPr>
                <w:rFonts w:ascii="Arial" w:hAnsi="Arial"/>
                <w:b w:val="0"/>
                <w:i w:val="0"/>
                <w:sz w:val="18"/>
              </w:rPr>
              <w:t>6,000</w:t>
            </w:r>
          </w:p>
        </w:tc>
        <w:tc>
          <w:tcPr>
            <w:tcW w:type="dxa" w:w="1700"/>
            <w:shd w:val="clear" w:fill="FAFAFA"/>
          </w:tcPr>
          <w:p>
            <w:r/>
            <w:r>
              <w:rPr>
                <w:rFonts w:ascii="Arial" w:hAnsi="Arial"/>
                <w:b w:val="0"/>
                <w:i w:val="0"/>
                <w:sz w:val="18"/>
              </w:rPr>
              <w:t>7,000</w:t>
            </w:r>
          </w:p>
        </w:tc>
        <w:tc>
          <w:tcPr>
            <w:tcW w:type="dxa" w:w="1700"/>
            <w:shd w:val="clear" w:fill="FAFAFA"/>
          </w:tcPr>
          <w:p>
            <w:r/>
            <w:r>
              <w:rPr>
                <w:rFonts w:ascii="Arial" w:hAnsi="Arial"/>
                <w:b w:val="0"/>
                <w:i w:val="0"/>
                <w:sz w:val="18"/>
              </w:rPr>
              <w:t>6,350</w:t>
            </w:r>
          </w:p>
        </w:tc>
        <w:tc>
          <w:tcPr>
            <w:tcW w:type="dxa" w:w="1700"/>
            <w:shd w:val="clear" w:fill="FAFAFA"/>
          </w:tcPr>
          <w:p>
            <w:r/>
            <w:r>
              <w:rPr>
                <w:rFonts w:ascii="Arial" w:hAnsi="Arial"/>
                <w:b w:val="0"/>
                <w:i w:val="0"/>
                <w:sz w:val="18"/>
              </w:rPr>
              <w:t>5,600</w:t>
            </w:r>
          </w:p>
        </w:tc>
      </w:tr>
      <w:tr>
        <w:tc>
          <w:tcPr>
            <w:tcW w:type="dxa" w:w="2560"/>
            <w:shd w:val="clear" w:fill="F2F2F2"/>
          </w:tcPr>
          <w:p>
            <w:r/>
            <w:r>
              <w:rPr>
                <w:rFonts w:ascii="Arial" w:hAnsi="Arial"/>
                <w:b/>
                <w:i w:val="0"/>
                <w:sz w:val="18"/>
              </w:rPr>
              <w:t>Diluted HEPS — normalised (cents)</w:t>
            </w:r>
          </w:p>
        </w:tc>
        <w:tc>
          <w:tcPr>
            <w:tcW w:type="dxa" w:w="1700"/>
          </w:tcPr>
          <w:p>
            <w:r/>
            <w:r>
              <w:rPr>
                <w:rFonts w:ascii="Arial" w:hAnsi="Arial"/>
                <w:b w:val="0"/>
                <w:i w:val="0"/>
                <w:sz w:val="18"/>
              </w:rPr>
              <w:t>1,489</w:t>
            </w:r>
          </w:p>
        </w:tc>
        <w:tc>
          <w:tcPr>
            <w:tcW w:type="dxa" w:w="1700"/>
          </w:tcPr>
          <w:p>
            <w:r/>
            <w:r>
              <w:rPr>
                <w:rFonts w:ascii="Arial" w:hAnsi="Arial"/>
                <w:b w:val="0"/>
                <w:i w:val="0"/>
                <w:sz w:val="18"/>
              </w:rPr>
              <w:t>1,668</w:t>
            </w:r>
          </w:p>
        </w:tc>
        <w:tc>
          <w:tcPr>
            <w:tcW w:type="dxa" w:w="1700"/>
          </w:tcPr>
          <w:p>
            <w:r/>
            <w:r>
              <w:rPr>
                <w:rFonts w:ascii="Arial" w:hAnsi="Arial"/>
                <w:b w:val="0"/>
                <w:i w:val="0"/>
                <w:sz w:val="18"/>
              </w:rPr>
              <w:t>1,563</w:t>
            </w:r>
          </w:p>
        </w:tc>
        <w:tc>
          <w:tcPr>
            <w:tcW w:type="dxa" w:w="1700"/>
          </w:tcPr>
          <w:p>
            <w:r/>
            <w:r>
              <w:rPr>
                <w:rFonts w:ascii="Arial" w:hAnsi="Arial"/>
                <w:b w:val="0"/>
                <w:i w:val="0"/>
                <w:sz w:val="18"/>
              </w:rPr>
              <w:t>1,415</w:t>
            </w:r>
          </w:p>
        </w:tc>
      </w:tr>
      <w:tr>
        <w:tc>
          <w:tcPr>
            <w:tcW w:type="dxa" w:w="2560"/>
            <w:shd w:val="clear" w:fill="F2F2F2"/>
          </w:tcPr>
          <w:p>
            <w:r/>
            <w:r>
              <w:rPr>
                <w:rFonts w:ascii="Arial" w:hAnsi="Arial"/>
                <w:b/>
                <w:i w:val="0"/>
                <w:sz w:val="18"/>
              </w:rPr>
              <w:t>DHEPS growth vs FY2026 norm.</w:t>
            </w:r>
          </w:p>
        </w:tc>
        <w:tc>
          <w:tcPr>
            <w:tcW w:type="dxa" w:w="1700"/>
            <w:shd w:val="clear" w:fill="FAFAFA"/>
          </w:tcPr>
          <w:p>
            <w:r/>
            <w:r>
              <w:rPr>
                <w:rFonts w:ascii="Arial" w:hAnsi="Arial"/>
                <w:b w:val="0"/>
                <w:i w:val="0"/>
                <w:sz w:val="18"/>
              </w:rPr>
              <w:t>—</w:t>
            </w:r>
          </w:p>
        </w:tc>
        <w:tc>
          <w:tcPr>
            <w:tcW w:type="dxa" w:w="1700"/>
            <w:shd w:val="clear" w:fill="FAFAFA"/>
          </w:tcPr>
          <w:p>
            <w:r/>
            <w:r>
              <w:rPr>
                <w:rFonts w:ascii="Arial" w:hAnsi="Arial"/>
                <w:b w:val="0"/>
                <w:i w:val="0"/>
                <w:sz w:val="18"/>
              </w:rPr>
              <w:t>+12.0%</w:t>
            </w:r>
          </w:p>
        </w:tc>
        <w:tc>
          <w:tcPr>
            <w:tcW w:type="dxa" w:w="1700"/>
            <w:shd w:val="clear" w:fill="FAFAFA"/>
          </w:tcPr>
          <w:p>
            <w:r/>
            <w:r>
              <w:rPr>
                <w:rFonts w:ascii="Arial" w:hAnsi="Arial"/>
                <w:b w:val="0"/>
                <w:i w:val="0"/>
                <w:sz w:val="18"/>
              </w:rPr>
              <w:t>+5.0%</w:t>
            </w:r>
          </w:p>
        </w:tc>
        <w:tc>
          <w:tcPr>
            <w:tcW w:type="dxa" w:w="1700"/>
            <w:shd w:val="clear" w:fill="FAFAFA"/>
          </w:tcPr>
          <w:p>
            <w:r/>
            <w:r>
              <w:rPr>
                <w:rFonts w:ascii="Arial" w:hAnsi="Arial"/>
                <w:b w:val="0"/>
                <w:i w:val="0"/>
                <w:sz w:val="18"/>
              </w:rPr>
              <w:t>−5.0%</w:t>
            </w:r>
          </w:p>
        </w:tc>
      </w:tr>
      <w:tr>
        <w:tc>
          <w:tcPr>
            <w:tcW w:type="dxa" w:w="2560"/>
            <w:shd w:val="clear" w:fill="F2F2F2"/>
          </w:tcPr>
          <w:p>
            <w:r/>
            <w:r>
              <w:rPr>
                <w:rFonts w:ascii="Arial" w:hAnsi="Arial"/>
                <w:b/>
                <w:i w:val="0"/>
                <w:sz w:val="18"/>
              </w:rPr>
              <w:t>Total dividend (cents, ~63% e)</w:t>
            </w:r>
          </w:p>
        </w:tc>
        <w:tc>
          <w:tcPr>
            <w:tcW w:type="dxa" w:w="1700"/>
          </w:tcPr>
          <w:p>
            <w:r/>
            <w:r>
              <w:rPr>
                <w:rFonts w:ascii="Arial" w:hAnsi="Arial"/>
                <w:b w:val="0"/>
                <w:i w:val="0"/>
                <w:sz w:val="18"/>
              </w:rPr>
              <w:t>916 (e)</w:t>
            </w:r>
          </w:p>
        </w:tc>
        <w:tc>
          <w:tcPr>
            <w:tcW w:type="dxa" w:w="1700"/>
          </w:tcPr>
          <w:p>
            <w:r/>
            <w:r>
              <w:rPr>
                <w:rFonts w:ascii="Arial" w:hAnsi="Arial"/>
                <w:b w:val="0"/>
                <w:i w:val="0"/>
                <w:sz w:val="18"/>
              </w:rPr>
              <w:t>1,051</w:t>
            </w:r>
          </w:p>
        </w:tc>
        <w:tc>
          <w:tcPr>
            <w:tcW w:type="dxa" w:w="1700"/>
          </w:tcPr>
          <w:p>
            <w:r/>
            <w:r>
              <w:rPr>
                <w:rFonts w:ascii="Arial" w:hAnsi="Arial"/>
                <w:b w:val="0"/>
                <w:i w:val="0"/>
                <w:sz w:val="18"/>
              </w:rPr>
              <w:t>985</w:t>
            </w:r>
          </w:p>
        </w:tc>
        <w:tc>
          <w:tcPr>
            <w:tcW w:type="dxa" w:w="1700"/>
          </w:tcPr>
          <w:p>
            <w:r/>
            <w:r>
              <w:rPr>
                <w:rFonts w:ascii="Arial" w:hAnsi="Arial"/>
                <w:b w:val="0"/>
                <w:i w:val="0"/>
                <w:sz w:val="18"/>
              </w:rPr>
              <w:t>891</w:t>
            </w:r>
          </w:p>
        </w:tc>
      </w:tr>
      <w:tr>
        <w:tc>
          <w:tcPr>
            <w:tcW w:type="dxa" w:w="2560"/>
            <w:shd w:val="clear" w:fill="F2F2F2"/>
          </w:tcPr>
          <w:p>
            <w:r/>
            <w:r>
              <w:rPr>
                <w:rFonts w:ascii="Arial" w:hAnsi="Arial"/>
                <w:b/>
                <w:i w:val="0"/>
                <w:sz w:val="18"/>
              </w:rPr>
              <w:t>Implied read</w:t>
            </w:r>
          </w:p>
        </w:tc>
        <w:tc>
          <w:tcPr>
            <w:tcW w:type="dxa" w:w="1700"/>
            <w:shd w:val="clear" w:fill="FAFAFA"/>
          </w:tcPr>
          <w:p>
            <w:r/>
            <w:r>
              <w:rPr>
                <w:rFonts w:ascii="Arial" w:hAnsi="Arial"/>
                <w:b w:val="0"/>
                <w:i w:val="0"/>
                <w:sz w:val="18"/>
              </w:rPr>
              <w:t>—</w:t>
            </w:r>
          </w:p>
        </w:tc>
        <w:tc>
          <w:tcPr>
            <w:tcW w:type="dxa" w:w="1700"/>
            <w:shd w:val="clear" w:fill="FAFAFA"/>
          </w:tcPr>
          <w:p>
            <w:r/>
            <w:r>
              <w:rPr>
                <w:rFonts w:ascii="Arial" w:hAnsi="Arial"/>
                <w:b w:val="0"/>
                <w:i w:val="0"/>
                <w:sz w:val="18"/>
              </w:rPr>
              <w:t>NKD accretive; SA tailwind</w:t>
            </w:r>
          </w:p>
        </w:tc>
        <w:tc>
          <w:tcPr>
            <w:tcW w:type="dxa" w:w="1700"/>
            <w:shd w:val="clear" w:fill="FAFAFA"/>
          </w:tcPr>
          <w:p>
            <w:r/>
            <w:r>
              <w:rPr>
                <w:rFonts w:ascii="Arial" w:hAnsi="Arial"/>
                <w:b w:val="0"/>
                <w:i w:val="0"/>
                <w:sz w:val="18"/>
              </w:rPr>
              <w:t>NKD ~neutral yr 1; SA steady</w:t>
            </w:r>
          </w:p>
        </w:tc>
        <w:tc>
          <w:tcPr>
            <w:tcW w:type="dxa" w:w="1700"/>
            <w:shd w:val="clear" w:fill="FAFAFA"/>
          </w:tcPr>
          <w:p>
            <w:r/>
            <w:r>
              <w:rPr>
                <w:rFonts w:ascii="Arial" w:hAnsi="Arial"/>
                <w:b w:val="0"/>
                <w:i w:val="0"/>
                <w:sz w:val="18"/>
              </w:rPr>
              <w:t>NKD drag + soft SA + interest</w:t>
            </w:r>
          </w:p>
        </w:tc>
      </w:tr>
    </w:tbl>
    <w:p>
      <w:pPr>
        <w:spacing w:after="40" w:before="0"/>
      </w:pPr>
    </w:p>
    <w:p>
      <w:pPr>
        <w:pStyle w:val="Heading2"/>
      </w:pPr>
      <w:r>
        <w:t>FY2028E (the 2027/28 year — NKD turnaround matures)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60"/>
            <w:shd w:val="clear" w:fill="1F3864"/>
          </w:tcPr>
          <w:p>
            <w:r/>
            <w:r>
              <w:rPr>
                <w:rFonts w:ascii="Arial" w:hAnsi="Arial"/>
                <w:b/>
                <w:i w:val="0"/>
                <w:color w:val="FFFFFF"/>
                <w:sz w:val="18"/>
              </w:rPr>
              <w:t>Metric</w:t>
            </w:r>
          </w:p>
        </w:tc>
        <w:tc>
          <w:tcPr>
            <w:tcW w:type="dxa" w:w="1700"/>
            <w:shd w:val="clear" w:fill="1F3864"/>
          </w:tcPr>
          <w:p>
            <w:r/>
            <w:r>
              <w:rPr>
                <w:rFonts w:ascii="Arial" w:hAnsi="Arial"/>
                <w:b/>
                <w:i w:val="0"/>
                <w:color w:val="FFFFFF"/>
                <w:sz w:val="18"/>
              </w:rPr>
              <w:t>FY2027E (Neutral)</w:t>
            </w:r>
          </w:p>
        </w:tc>
        <w:tc>
          <w:tcPr>
            <w:tcW w:type="dxa" w:w="1700"/>
            <w:shd w:val="clear" w:fill="375623"/>
          </w:tcPr>
          <w:p>
            <w:r/>
            <w:r>
              <w:rPr>
                <w:rFonts w:ascii="Arial" w:hAnsi="Arial"/>
                <w:b/>
                <w:i w:val="0"/>
                <w:color w:val="FFFFFF"/>
                <w:sz w:val="18"/>
              </w:rPr>
              <w:t>Bull (e)</w:t>
            </w:r>
          </w:p>
        </w:tc>
        <w:tc>
          <w:tcPr>
            <w:tcW w:type="dxa" w:w="1700"/>
            <w:shd w:val="clear" w:fill="808080"/>
          </w:tcPr>
          <w:p>
            <w:r/>
            <w:r>
              <w:rPr>
                <w:rFonts w:ascii="Arial" w:hAnsi="Arial"/>
                <w:b/>
                <w:i w:val="0"/>
                <w:color w:val="FFFFFF"/>
                <w:sz w:val="18"/>
              </w:rPr>
              <w:t>Neutral (e)</w:t>
            </w:r>
          </w:p>
        </w:tc>
        <w:tc>
          <w:tcPr>
            <w:tcW w:type="dxa" w:w="1700"/>
            <w:shd w:val="clear" w:fill="C00000"/>
          </w:tcPr>
          <w:p>
            <w:r/>
            <w:r>
              <w:rPr>
                <w:rFonts w:ascii="Arial" w:hAnsi="Arial"/>
                <w:b/>
                <w:i w:val="0"/>
                <w:color w:val="FFFFFF"/>
                <w:sz w:val="18"/>
              </w:rPr>
              <w:t>Bear (e)</w:t>
            </w:r>
          </w:p>
        </w:tc>
      </w:tr>
      <w:tr>
        <w:tc>
          <w:tcPr>
            <w:tcW w:type="dxa" w:w="2560"/>
            <w:shd w:val="clear" w:fill="F2F2F2"/>
          </w:tcPr>
          <w:p>
            <w:r/>
            <w:r>
              <w:rPr>
                <w:rFonts w:ascii="Arial" w:hAnsi="Arial"/>
                <w:b/>
                <w:i w:val="0"/>
                <w:sz w:val="18"/>
              </w:rPr>
              <w:t>Group revenue (R'm)</w:t>
            </w:r>
          </w:p>
        </w:tc>
        <w:tc>
          <w:tcPr>
            <w:tcW w:type="dxa" w:w="1700"/>
          </w:tcPr>
          <w:p>
            <w:r/>
            <w:r>
              <w:rPr>
                <w:rFonts w:ascii="Arial" w:hAnsi="Arial"/>
                <w:b w:val="0"/>
                <w:i w:val="0"/>
                <w:sz w:val="18"/>
              </w:rPr>
              <w:t>~57,000</w:t>
            </w:r>
          </w:p>
        </w:tc>
        <w:tc>
          <w:tcPr>
            <w:tcW w:type="dxa" w:w="1700"/>
          </w:tcPr>
          <w:p>
            <w:r/>
            <w:r>
              <w:rPr>
                <w:rFonts w:ascii="Arial" w:hAnsi="Arial"/>
                <w:b w:val="0"/>
                <w:i w:val="0"/>
                <w:sz w:val="18"/>
              </w:rPr>
              <w:t>~64,000</w:t>
            </w:r>
          </w:p>
        </w:tc>
        <w:tc>
          <w:tcPr>
            <w:tcW w:type="dxa" w:w="1700"/>
          </w:tcPr>
          <w:p>
            <w:r/>
            <w:r>
              <w:rPr>
                <w:rFonts w:ascii="Arial" w:hAnsi="Arial"/>
                <w:b w:val="0"/>
                <w:i w:val="0"/>
                <w:sz w:val="18"/>
              </w:rPr>
              <w:t>~60,500</w:t>
            </w:r>
          </w:p>
        </w:tc>
        <w:tc>
          <w:tcPr>
            <w:tcW w:type="dxa" w:w="1700"/>
          </w:tcPr>
          <w:p>
            <w:r/>
            <w:r>
              <w:rPr>
                <w:rFonts w:ascii="Arial" w:hAnsi="Arial"/>
                <w:b w:val="0"/>
                <w:i w:val="0"/>
                <w:sz w:val="18"/>
              </w:rPr>
              <w:t>~56,500</w:t>
            </w:r>
          </w:p>
        </w:tc>
      </w:tr>
      <w:tr>
        <w:tc>
          <w:tcPr>
            <w:tcW w:type="dxa" w:w="2560"/>
            <w:shd w:val="clear" w:fill="F2F2F2"/>
          </w:tcPr>
          <w:p>
            <w:r/>
            <w:r>
              <w:rPr>
                <w:rFonts w:ascii="Arial" w:hAnsi="Arial"/>
                <w:b/>
                <w:i w:val="0"/>
                <w:sz w:val="18"/>
              </w:rPr>
              <w:t>Group operating profit (R'm)</w:t>
            </w:r>
          </w:p>
        </w:tc>
        <w:tc>
          <w:tcPr>
            <w:tcW w:type="dxa" w:w="1700"/>
            <w:shd w:val="clear" w:fill="FAFAFA"/>
          </w:tcPr>
          <w:p>
            <w:r/>
            <w:r>
              <w:rPr>
                <w:rFonts w:ascii="Arial" w:hAnsi="Arial"/>
                <w:b w:val="0"/>
                <w:i w:val="0"/>
                <w:sz w:val="18"/>
              </w:rPr>
              <w:t>6,350</w:t>
            </w:r>
          </w:p>
        </w:tc>
        <w:tc>
          <w:tcPr>
            <w:tcW w:type="dxa" w:w="1700"/>
            <w:shd w:val="clear" w:fill="FAFAFA"/>
          </w:tcPr>
          <w:p>
            <w:r/>
            <w:r>
              <w:rPr>
                <w:rFonts w:ascii="Arial" w:hAnsi="Arial"/>
                <w:b w:val="0"/>
                <w:i w:val="0"/>
                <w:sz w:val="18"/>
              </w:rPr>
              <w:t>7,900</w:t>
            </w:r>
          </w:p>
        </w:tc>
        <w:tc>
          <w:tcPr>
            <w:tcW w:type="dxa" w:w="1700"/>
            <w:shd w:val="clear" w:fill="FAFAFA"/>
          </w:tcPr>
          <w:p>
            <w:r/>
            <w:r>
              <w:rPr>
                <w:rFonts w:ascii="Arial" w:hAnsi="Arial"/>
                <w:b w:val="0"/>
                <w:i w:val="0"/>
                <w:sz w:val="18"/>
              </w:rPr>
              <w:t>6,950</w:t>
            </w:r>
          </w:p>
        </w:tc>
        <w:tc>
          <w:tcPr>
            <w:tcW w:type="dxa" w:w="1700"/>
            <w:shd w:val="clear" w:fill="FAFAFA"/>
          </w:tcPr>
          <w:p>
            <w:r/>
            <w:r>
              <w:rPr>
                <w:rFonts w:ascii="Arial" w:hAnsi="Arial"/>
                <w:b w:val="0"/>
                <w:i w:val="0"/>
                <w:sz w:val="18"/>
              </w:rPr>
              <w:t>5,750</w:t>
            </w:r>
          </w:p>
        </w:tc>
      </w:tr>
      <w:tr>
        <w:tc>
          <w:tcPr>
            <w:tcW w:type="dxa" w:w="2560"/>
            <w:shd w:val="clear" w:fill="F2F2F2"/>
          </w:tcPr>
          <w:p>
            <w:r/>
            <w:r>
              <w:rPr>
                <w:rFonts w:ascii="Arial" w:hAnsi="Arial"/>
                <w:b/>
                <w:i w:val="0"/>
                <w:sz w:val="18"/>
              </w:rPr>
              <w:t>Diluted HEPS — normalised (cents)</w:t>
            </w:r>
          </w:p>
        </w:tc>
        <w:tc>
          <w:tcPr>
            <w:tcW w:type="dxa" w:w="1700"/>
          </w:tcPr>
          <w:p>
            <w:r/>
            <w:r>
              <w:rPr>
                <w:rFonts w:ascii="Arial" w:hAnsi="Arial"/>
                <w:b w:val="0"/>
                <w:i w:val="0"/>
                <w:sz w:val="18"/>
              </w:rPr>
              <w:t>1,563</w:t>
            </w:r>
          </w:p>
        </w:tc>
        <w:tc>
          <w:tcPr>
            <w:tcW w:type="dxa" w:w="1700"/>
          </w:tcPr>
          <w:p>
            <w:r/>
            <w:r>
              <w:rPr>
                <w:rFonts w:ascii="Arial" w:hAnsi="Arial"/>
                <w:b w:val="0"/>
                <w:i w:val="0"/>
                <w:sz w:val="18"/>
              </w:rPr>
              <w:t>1,902</w:t>
            </w:r>
          </w:p>
        </w:tc>
        <w:tc>
          <w:tcPr>
            <w:tcW w:type="dxa" w:w="1700"/>
          </w:tcPr>
          <w:p>
            <w:r/>
            <w:r>
              <w:rPr>
                <w:rFonts w:ascii="Arial" w:hAnsi="Arial"/>
                <w:b w:val="0"/>
                <w:i w:val="0"/>
                <w:sz w:val="18"/>
              </w:rPr>
              <w:t>1,672</w:t>
            </w:r>
          </w:p>
        </w:tc>
        <w:tc>
          <w:tcPr>
            <w:tcW w:type="dxa" w:w="1700"/>
          </w:tcPr>
          <w:p>
            <w:r/>
            <w:r>
              <w:rPr>
                <w:rFonts w:ascii="Arial" w:hAnsi="Arial"/>
                <w:b w:val="0"/>
                <w:i w:val="0"/>
                <w:sz w:val="18"/>
              </w:rPr>
              <w:t>1,387</w:t>
            </w:r>
          </w:p>
        </w:tc>
      </w:tr>
      <w:tr>
        <w:tc>
          <w:tcPr>
            <w:tcW w:type="dxa" w:w="2560"/>
            <w:shd w:val="clear" w:fill="F2F2F2"/>
          </w:tcPr>
          <w:p>
            <w:r/>
            <w:r>
              <w:rPr>
                <w:rFonts w:ascii="Arial" w:hAnsi="Arial"/>
                <w:b/>
                <w:i w:val="0"/>
                <w:sz w:val="18"/>
              </w:rPr>
              <w:t>DHEPS growth vs FY2027E</w:t>
            </w:r>
          </w:p>
        </w:tc>
        <w:tc>
          <w:tcPr>
            <w:tcW w:type="dxa" w:w="1700"/>
            <w:shd w:val="clear" w:fill="FAFAFA"/>
          </w:tcPr>
          <w:p>
            <w:r/>
            <w:r>
              <w:rPr>
                <w:rFonts w:ascii="Arial" w:hAnsi="Arial"/>
                <w:b w:val="0"/>
                <w:i w:val="0"/>
                <w:sz w:val="18"/>
              </w:rPr>
              <w:t>—</w:t>
            </w:r>
          </w:p>
        </w:tc>
        <w:tc>
          <w:tcPr>
            <w:tcW w:type="dxa" w:w="1700"/>
            <w:shd w:val="clear" w:fill="FAFAFA"/>
          </w:tcPr>
          <w:p>
            <w:r/>
            <w:r>
              <w:rPr>
                <w:rFonts w:ascii="Arial" w:hAnsi="Arial"/>
                <w:b w:val="0"/>
                <w:i w:val="0"/>
                <w:sz w:val="18"/>
              </w:rPr>
              <w:t>+14% (off Bull)</w:t>
            </w:r>
          </w:p>
        </w:tc>
        <w:tc>
          <w:tcPr>
            <w:tcW w:type="dxa" w:w="1700"/>
            <w:shd w:val="clear" w:fill="FAFAFA"/>
          </w:tcPr>
          <w:p>
            <w:r/>
            <w:r>
              <w:rPr>
                <w:rFonts w:ascii="Arial" w:hAnsi="Arial"/>
                <w:b w:val="0"/>
                <w:i w:val="0"/>
                <w:sz w:val="18"/>
              </w:rPr>
              <w:t>+7%</w:t>
            </w:r>
          </w:p>
        </w:tc>
        <w:tc>
          <w:tcPr>
            <w:tcW w:type="dxa" w:w="1700"/>
            <w:shd w:val="clear" w:fill="FAFAFA"/>
          </w:tcPr>
          <w:p>
            <w:r/>
            <w:r>
              <w:rPr>
                <w:rFonts w:ascii="Arial" w:hAnsi="Arial"/>
                <w:b w:val="0"/>
                <w:i w:val="0"/>
                <w:sz w:val="18"/>
              </w:rPr>
              <w:t>−2% (off Bear)</w:t>
            </w:r>
          </w:p>
        </w:tc>
      </w:tr>
      <w:tr>
        <w:tc>
          <w:tcPr>
            <w:tcW w:type="dxa" w:w="2560"/>
            <w:shd w:val="clear" w:fill="F2F2F2"/>
          </w:tcPr>
          <w:p>
            <w:r/>
            <w:r>
              <w:rPr>
                <w:rFonts w:ascii="Arial" w:hAnsi="Arial"/>
                <w:b/>
                <w:i w:val="0"/>
                <w:sz w:val="18"/>
              </w:rPr>
              <w:t>Total dividend (cents, ~63% e)</w:t>
            </w:r>
          </w:p>
        </w:tc>
        <w:tc>
          <w:tcPr>
            <w:tcW w:type="dxa" w:w="1700"/>
          </w:tcPr>
          <w:p>
            <w:r/>
            <w:r>
              <w:rPr>
                <w:rFonts w:ascii="Arial" w:hAnsi="Arial"/>
                <w:b w:val="0"/>
                <w:i w:val="0"/>
                <w:sz w:val="18"/>
              </w:rPr>
              <w:t>985</w:t>
            </w:r>
          </w:p>
        </w:tc>
        <w:tc>
          <w:tcPr>
            <w:tcW w:type="dxa" w:w="1700"/>
          </w:tcPr>
          <w:p>
            <w:r/>
            <w:r>
              <w:rPr>
                <w:rFonts w:ascii="Arial" w:hAnsi="Arial"/>
                <w:b w:val="0"/>
                <w:i w:val="0"/>
                <w:sz w:val="18"/>
              </w:rPr>
              <w:t>1,198</w:t>
            </w:r>
          </w:p>
        </w:tc>
        <w:tc>
          <w:tcPr>
            <w:tcW w:type="dxa" w:w="1700"/>
          </w:tcPr>
          <w:p>
            <w:r/>
            <w:r>
              <w:rPr>
                <w:rFonts w:ascii="Arial" w:hAnsi="Arial"/>
                <w:b w:val="0"/>
                <w:i w:val="0"/>
                <w:sz w:val="18"/>
              </w:rPr>
              <w:t>1,053</w:t>
            </w:r>
          </w:p>
        </w:tc>
        <w:tc>
          <w:tcPr>
            <w:tcW w:type="dxa" w:w="1700"/>
          </w:tcPr>
          <w:p>
            <w:r/>
            <w:r>
              <w:rPr>
                <w:rFonts w:ascii="Arial" w:hAnsi="Arial"/>
                <w:b w:val="0"/>
                <w:i w:val="0"/>
                <w:sz w:val="18"/>
              </w:rPr>
              <w:t>874</w:t>
            </w:r>
          </w:p>
        </w:tc>
      </w:tr>
      <w:tr>
        <w:tc>
          <w:tcPr>
            <w:tcW w:type="dxa" w:w="2560"/>
            <w:shd w:val="clear" w:fill="F2F2F2"/>
          </w:tcPr>
          <w:p>
            <w:r/>
            <w:r>
              <w:rPr>
                <w:rFonts w:ascii="Arial" w:hAnsi="Arial"/>
                <w:b/>
                <w:i w:val="0"/>
                <w:sz w:val="18"/>
              </w:rPr>
              <w:t>Implied read</w:t>
            </w:r>
          </w:p>
        </w:tc>
        <w:tc>
          <w:tcPr>
            <w:tcW w:type="dxa" w:w="1700"/>
            <w:shd w:val="clear" w:fill="FAFAFA"/>
          </w:tcPr>
          <w:p>
            <w:r/>
            <w:r>
              <w:rPr>
                <w:rFonts w:ascii="Arial" w:hAnsi="Arial"/>
                <w:b w:val="0"/>
                <w:i w:val="0"/>
                <w:sz w:val="18"/>
              </w:rPr>
              <w:t>—</w:t>
            </w:r>
          </w:p>
        </w:tc>
        <w:tc>
          <w:tcPr>
            <w:tcW w:type="dxa" w:w="1700"/>
            <w:shd w:val="clear" w:fill="FAFAFA"/>
          </w:tcPr>
          <w:p>
            <w:r/>
            <w:r>
              <w:rPr>
                <w:rFonts w:ascii="Arial" w:hAnsi="Arial"/>
                <w:b w:val="0"/>
                <w:i w:val="0"/>
                <w:sz w:val="18"/>
              </w:rPr>
              <w:t>Synergies compound</w:t>
            </w:r>
          </w:p>
        </w:tc>
        <w:tc>
          <w:tcPr>
            <w:tcW w:type="dxa" w:w="1700"/>
            <w:shd w:val="clear" w:fill="FAFAFA"/>
          </w:tcPr>
          <w:p>
            <w:r/>
            <w:r>
              <w:rPr>
                <w:rFonts w:ascii="Arial" w:hAnsi="Arial"/>
                <w:b w:val="0"/>
                <w:i w:val="0"/>
                <w:sz w:val="18"/>
              </w:rPr>
              <w:t>Steady normalisation</w:t>
            </w:r>
          </w:p>
        </w:tc>
        <w:tc>
          <w:tcPr>
            <w:tcW w:type="dxa" w:w="1700"/>
            <w:shd w:val="clear" w:fill="FAFAFA"/>
          </w:tcPr>
          <w:p>
            <w:r/>
            <w:r>
              <w:rPr>
                <w:rFonts w:ascii="Arial" w:hAnsi="Arial"/>
                <w:b w:val="0"/>
                <w:i w:val="0"/>
                <w:sz w:val="18"/>
              </w:rPr>
              <w:t>Impairment / drag persists</w:t>
            </w:r>
          </w:p>
        </w:tc>
      </w:tr>
    </w:tbl>
    <w:p>
      <w:pPr>
        <w:spacing w:after="40" w:before="0"/>
      </w:pP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Reading the spread.  </w:t>
            </w:r>
            <w:r>
              <w:rPr>
                <w:rFonts w:ascii="Arial" w:hAnsi="Arial"/>
                <w:b w:val="0"/>
                <w:i w:val="0"/>
                <w:sz w:val="21"/>
              </w:rPr>
              <w:t>FY2027 is the noisy consolidation year: group revenue jumps ~30% purely because NKD comes on-book, while reported earnings are weighed by NKD's thin first-year margins and the acquisition-debt interest bill — so the headline revenue surge overstates the underlying improvement. The decisive divergence is FY2028: once the NKD outcome is visible, the Bull-to-Bear normalised-DHEPS gap widens to ~515 cents (1,902 vs 1,387, ~37%), driven almost entirely by whether NKD turns profitable and by the EUR/ZAR path. That is where the re-rating-or-de-rating debate gets settled — far more than by the SA base.</w:t>
            </w:r>
          </w:p>
        </w:tc>
      </w:tr>
    </w:tbl>
    <w:p>
      <w:pPr>
        <w:spacing w:after="40" w:before="0"/>
      </w:pPr>
    </w:p>
    <w:p>
      <w:pPr>
        <w:pStyle w:val="Heading1"/>
      </w:pPr>
      <w:r>
        <w:t>6. What flips the rating — upgrade vs downgrade triggers</w:t>
      </w:r>
    </w:p>
    <w:p>
      <w:pPr>
        <w:pStyle w:val="ListBullet"/>
        <w:spacing w:after="80"/>
      </w:pPr>
      <w:r>
        <w:rPr>
          <w:rFonts w:ascii="Arial" w:hAnsi="Arial"/>
          <w:b/>
          <w:i w:val="0"/>
          <w:sz w:val="21"/>
        </w:rPr>
        <w:t xml:space="preserve">Upgrade signals: </w:t>
      </w:r>
      <w:r>
        <w:rPr>
          <w:rFonts w:ascii="Arial" w:hAnsi="Arial"/>
          <w:b w:val="0"/>
          <w:i w:val="0"/>
          <w:sz w:val="21"/>
        </w:rPr>
        <w:t>NKD reaching operating breakeven/profit ahead of guidance; explicit synergy, margin and ROCE-hurdle targets disclosed; SA comparable sales re-accelerating above RSP inflation (positive volumes); an EUR/ZAR translation tailwind; and the ~63% payout held — confirming the balance sheet can carry the deal.</w:t>
      </w:r>
    </w:p>
    <w:p>
      <w:pPr>
        <w:pStyle w:val="ListBullet"/>
        <w:spacing w:after="80"/>
      </w:pPr>
      <w:r>
        <w:rPr>
          <w:rFonts w:ascii="Arial" w:hAnsi="Arial"/>
          <w:b/>
          <w:i w:val="0"/>
          <w:sz w:val="21"/>
        </w:rPr>
        <w:t xml:space="preserve">Downgrade signals: </w:t>
      </w:r>
      <w:r>
        <w:rPr>
          <w:rFonts w:ascii="Arial" w:hAnsi="Arial"/>
          <w:b w:val="0"/>
          <w:i w:val="0"/>
          <w:sz w:val="21"/>
        </w:rPr>
        <w:t>NKD loss-making with integration overruns or any goodwill impairment; SA volumes turning negative as discretionary demand stays soft; the acquisition-debt interest bill running heavier than modelled; the dividend trimmed to fund gearing; and the statutory-vs-normalised earnings gap persisting into FY2027.</w:t>
      </w:r>
    </w:p>
    <w:p>
      <w:pPr>
        <w:pStyle w:val="ListBullet"/>
        <w:spacing w:after="80"/>
      </w:pPr>
      <w:r>
        <w:rPr>
          <w:rFonts w:ascii="Arial" w:hAnsi="Arial"/>
          <w:b/>
          <w:i w:val="0"/>
          <w:sz w:val="21"/>
        </w:rPr>
        <w:t xml:space="preserve">Watch-the-quality flag: </w:t>
      </w:r>
      <w:r>
        <w:rPr>
          <w:rFonts w:ascii="Arial" w:hAnsi="Arial"/>
          <w:b w:val="0"/>
          <w:i w:val="0"/>
          <w:sz w:val="21"/>
        </w:rPr>
        <w:t>FY2026 statutory diluted HEPS grew only +2.4% versus +8.0% normalised — the gap is the once-off NKD transaction costs. FY2027 is the first clean read; if normalised growth still lags because NKD operating losses plus interest simply replace the one-offs, the 'real' improvement is weaker than the headline and supports the de-rating thesis.</w:t>
      </w:r>
    </w:p>
    <w:p>
      <w:pPr>
        <w:pStyle w:val="Heading1"/>
      </w:pPr>
      <w:r>
        <w:t>7. Questions for management</w:t>
      </w:r>
    </w:p>
    <w:p>
      <w:pPr>
        <w:pStyle w:val="ListBullet"/>
        <w:spacing w:after="80"/>
      </w:pPr>
      <w:r>
        <w:rPr>
          <w:rFonts w:ascii="Arial" w:hAnsi="Arial"/>
          <w:b w:val="0"/>
          <w:i w:val="0"/>
          <w:sz w:val="21"/>
        </w:rPr>
        <w:t>NKD funding: what is the exact debt/cash mix for the ~R9.66bn consideration, the pro-forma net debt/EBITDA, and the expected FY2027 interest charge?</w:t>
      </w:r>
    </w:p>
    <w:p>
      <w:pPr>
        <w:pStyle w:val="ListBullet"/>
        <w:spacing w:after="80"/>
      </w:pPr>
      <w:r>
        <w:rPr>
          <w:rFonts w:ascii="Arial" w:hAnsi="Arial"/>
          <w:b w:val="0"/>
          <w:i w:val="0"/>
          <w:sz w:val="21"/>
        </w:rPr>
        <w:t>NKD economics: what ROCE and margin does NKD earn today, what is the breakeven timeline and the synergy/margin-uplift target, and how is goodwill-impairment risk being framed?</w:t>
      </w:r>
    </w:p>
    <w:p>
      <w:pPr>
        <w:pStyle w:val="ListBullet"/>
        <w:spacing w:after="80"/>
      </w:pPr>
      <w:r>
        <w:rPr>
          <w:rFonts w:ascii="Arial" w:hAnsi="Arial"/>
          <w:b w:val="0"/>
          <w:i w:val="0"/>
          <w:sz w:val="21"/>
        </w:rPr>
        <w:t>FX policy: how will euro translation be managed and disclosed (segmental reporting, net-investment hedging), and what EUR/ZAR assumption underpins guidance?</w:t>
      </w:r>
    </w:p>
    <w:p>
      <w:pPr>
        <w:pStyle w:val="ListBullet"/>
        <w:spacing w:after="80"/>
      </w:pPr>
      <w:r>
        <w:rPr>
          <w:rFonts w:ascii="Arial" w:hAnsi="Arial"/>
          <w:b w:val="0"/>
          <w:i w:val="0"/>
          <w:sz w:val="21"/>
        </w:rPr>
        <w:t>SA base: what selling-price-inflation and volume assumptions sit behind FY2027, given soft discretionary demand and the tough two-pot-boosted prior-year comparatives?</w:t>
      </w:r>
    </w:p>
    <w:p>
      <w:pPr>
        <w:pStyle w:val="ListBullet"/>
        <w:spacing w:after="80"/>
      </w:pPr>
      <w:r>
        <w:rPr>
          <w:rFonts w:ascii="Arial" w:hAnsi="Arial"/>
          <w:b w:val="0"/>
          <w:i w:val="0"/>
          <w:sz w:val="21"/>
        </w:rPr>
        <w:t>Capital returns: does the ~63% payout policy hold through the NKD integration, or should we expect a lower payout while gearing is worked down?</w:t>
      </w:r>
    </w:p>
    <w:p>
      <w:pPr>
        <w:pStyle w:val="Heading1"/>
      </w:pPr>
      <w:r>
        <w:t>8. Sources</w:t>
      </w:r>
    </w:p>
    <w:p>
      <w:pPr>
        <w:pStyle w:val="ListBullet"/>
        <w:spacing w:after="80"/>
      </w:pPr>
      <w:r>
        <w:rPr>
          <w:rFonts w:ascii="Arial" w:hAnsi="Arial"/>
          <w:b w:val="0"/>
          <w:i w:val="0"/>
          <w:sz w:val="21"/>
        </w:rPr>
        <w:t xml:space="preserve">Mr Price Group — FY2026 annual results (SENS, 5 Jun 2026) + official supplementary information. Local file: companies/mr-price/annual-reports/mrprice-annual-results-fy2026-20260605.txt. </w:t>
      </w:r>
      <w:hyperlink r:id="rId10">
        <w:r>
          <w:rPr>
            <w:rFonts w:ascii="Arial" w:hAnsi="Arial"/>
            <w:color w:val="0563C1"/>
            <w:u w:val="single"/>
            <w:sz w:val="21"/>
          </w:rPr>
          <w:t>FY2026 supplementary information (PDF)</w:t>
        </w:r>
      </w:hyperlink>
    </w:p>
    <w:p>
      <w:pPr>
        <w:pStyle w:val="ListBullet"/>
        <w:spacing w:after="80"/>
      </w:pPr>
      <w:r>
        <w:rPr>
          <w:rFonts w:ascii="Arial" w:hAnsi="Arial"/>
          <w:b w:val="0"/>
          <w:i w:val="0"/>
          <w:sz w:val="21"/>
        </w:rPr>
        <w:t xml:space="preserve">The Citizen — FY2026 figures cross-check, 5 Jun 2026. </w:t>
      </w:r>
      <w:hyperlink r:id="rId11">
        <w:r>
          <w:rPr>
            <w:rFonts w:ascii="Arial" w:hAnsi="Arial"/>
            <w:color w:val="0563C1"/>
            <w:u w:val="single"/>
            <w:sz w:val="21"/>
          </w:rPr>
          <w:t>The Citizen, 5 Jun 2026</w:t>
        </w:r>
      </w:hyperlink>
    </w:p>
    <w:p>
      <w:pPr>
        <w:pStyle w:val="ListBullet"/>
        <w:spacing w:after="80"/>
      </w:pPr>
      <w:r>
        <w:rPr>
          <w:rFonts w:ascii="Arial" w:hAnsi="Arial"/>
          <w:b w:val="0"/>
          <w:i w:val="0"/>
          <w:sz w:val="21"/>
        </w:rPr>
        <w:t xml:space="preserve">NKD acquisition (announced 9 Dec 2025; unconditional 23 Feb 2026; closing 31 Mar 2026) — Daily Investor, IOL (17 Mar 2026), Cape Town Etc. Local file: companies/mr-price/press-releases/mrprice-nkd-acquisition-summary-2025-2026.txt. </w:t>
      </w:r>
      <w:hyperlink r:id="rId12">
        <w:r>
          <w:rPr>
            <w:rFonts w:ascii="Arial" w:hAnsi="Arial"/>
            <w:color w:val="0563C1"/>
            <w:u w:val="single"/>
            <w:sz w:val="21"/>
          </w:rPr>
          <w:t>Daily Investor — R9.7bn purchase</w:t>
        </w:r>
      </w:hyperlink>
    </w:p>
    <w:p>
      <w:pPr>
        <w:pStyle w:val="ListBullet"/>
        <w:spacing w:after="80"/>
      </w:pPr>
      <w:r>
        <w:rPr>
          <w:rFonts w:ascii="Arial" w:hAnsi="Arial"/>
          <w:b w:val="0"/>
          <w:i w:val="0"/>
          <w:sz w:val="21"/>
        </w:rPr>
        <w:t>Internal fund note — Mr Price research note (management incentives, risks, rand exposure, capital allocation), 5 Jun 2026. Local file: companies/mr-price/analyst-notes/mrprice-research-note-2026-2027.docx.</w:t>
      </w:r>
    </w:p>
    <w:p>
      <w:pPr>
        <w:pStyle w:val="ListBullet"/>
        <w:spacing w:after="80"/>
      </w:pPr>
      <w:r>
        <w:rPr>
          <w:rFonts w:ascii="Arial" w:hAnsi="Arial"/>
          <w:b w:val="0"/>
          <w:i w:val="0"/>
          <w:sz w:val="21"/>
        </w:rPr>
        <w:t>Sentiment lexicon counts computed over the captured text extracts above (this analysis), 18 Jun 2026 — directional signal only; full SENS/AFS binary not yet archived (logged as a coverage gap).</w:t>
      </w:r>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Mr Price Group (MRP) — FY2027/28 Scenario Outlook — internal research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rpricegroup.com/wp-content/uploads/2026/06/Supplementary-information-FY2026.pdf" TargetMode="External"/><Relationship Id="rId11" Type="http://schemas.openxmlformats.org/officeDocument/2006/relationships/hyperlink" Target="https://www.citizen.co.za/business/mr-price-generates-roughly-r16-4-million-a-day-in-operating-profit/" TargetMode="External"/><Relationship Id="rId12" Type="http://schemas.openxmlformats.org/officeDocument/2006/relationships/hyperlink" Target="https://dailyinvestor.com/retail/121204/mr-price-ploughs-ahead-with-controversial-r9-7-billion-purch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