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1483"/>
        </w:tabs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SIMON P. WEISENHORN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483"/>
        </w:tabs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simonweisenhorn@gmail.com | (704) 666-0010 | www.linkedin.com/in/simon-weisenhorn-stat</w:t>
      </w:r>
    </w:p>
    <w:p w:rsidR="00000000" w:rsidDel="00000000" w:rsidP="00000000" w:rsidRDefault="00000000" w:rsidRPr="00000000" w14:paraId="00000003">
      <w:pPr>
        <w:tabs>
          <w:tab w:val="left" w:leader="none" w:pos="1483"/>
        </w:tabs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58.0" w:type="dxa"/>
        <w:jc w:val="left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8"/>
        <w:tblGridChange w:id="0">
          <w:tblGrid>
            <w:gridCol w:w="10858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ind w:left="-114" w:right="-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North Carolina State University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Raleigh, NC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      </w:t>
        <w:tab/>
        <w:tab/>
        <w:t xml:space="preserve">      </w:t>
        <w:tab/>
        <w:t xml:space="preserve">                               August 2023</w:t>
      </w:r>
    </w:p>
    <w:p w:rsidR="00000000" w:rsidDel="00000000" w:rsidP="00000000" w:rsidRDefault="00000000" w:rsidRPr="00000000" w14:paraId="00000006">
      <w:pPr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Master of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University of North Carolina at Chapel Hill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Chapel Hill, NC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      </w:t>
        <w:tab/>
        <w:tab/>
        <w:t xml:space="preserve">                                   May 2022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B.S., Statistics and Analytics</w:t>
      </w:r>
    </w:p>
    <w:p w:rsidR="00000000" w:rsidDel="00000000" w:rsidP="00000000" w:rsidRDefault="00000000" w:rsidRPr="00000000" w14:paraId="0000000A">
      <w:pPr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Data Science 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Borders>
          <w:bottom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ind w:hanging="114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Ora, Inc.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 – Chicago, IL       </w:t>
        <w:tab/>
        <w:t xml:space="preserve">                                                 </w:t>
        <w:tab/>
        <w:t xml:space="preserve">          </w:t>
        <w:tab/>
        <w:t xml:space="preserve">          </w:t>
        <w:tab/>
        <w:t xml:space="preserve">  </w:t>
        <w:tab/>
        <w:t xml:space="preserve">     September 2023 – May 2025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Biostatistician; Contract research organization specializing in full-service ophthalmology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Authored four detailed Statistical Analysis Plans (SAPs) ensuring alignment with regulatory requirements (e.g., ICH E9 guidelines) and study-specific objectives defined in clinical protocols.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Served as the lead statistician on multiple early to mid-phase, multicenter, randomized, placebo-controlled clinical trials in ophthalmology, covering indications such as dry eye disease and retinitis pigmentosa.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Directed collaborative efforts with cross-functional global teams, including a programming team in Hyderabad, India, to execute statistical deliverables across diverse therapeutic areas.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Designed and developed comprehensive TLF (Tables, Listings, and Figures) shell documents to standardize reporting formats and streamline programming efforts.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Conducted thorough reviews of CRFs (Case Report Forms) for consistency, data collection adequacy, and alignment with study endpoints and statistical methodologies.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Spearheaded the development and documentation of SDTM and ADaM mapping specifications which contributed to the generation of submission-ready datasets in compliance with CDISC standards.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Programmed high-quality summary tables, subject-level listings, and exploratory graphics to support clinical development decision-making and regulatory submissions.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Executed all planned and exploratory statistical analyses outlined in SAPs, including subgroup analyses and sensitivity analyses; provided strategic input on data interpretation.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Performed statistical quality control (QC) and independent reprogramming of key outputs included in final clinical study reports (CSRs), data monitoring committees (DMCs), and data safety monitoring boards (DSMBs).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Ensured proper execution of all analyses defined in the statistical analysis plan as well as any post-hoc analyses and relevant exploratory analyses of clinical trial data.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Represented the Biostatistics department in regulatory agency meetings, sponsor communications, and cross-functional working groups.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Oversaw study-level timelines, resource planning, and budgets; monitored out-of-scope work and proactively addressed change orders and client expectations.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Maintained rigorous compliance with Ora's internal quality systems and industry regulatory standards, including data integrity and ethical conduct requirements.</w:t>
      </w:r>
    </w:p>
    <w:p w:rsidR="00000000" w:rsidDel="00000000" w:rsidP="00000000" w:rsidRDefault="00000000" w:rsidRPr="00000000" w14:paraId="0000001B">
      <w:pPr>
        <w:widowControl w:val="0"/>
        <w:spacing w:before="50" w:lineRule="auto"/>
        <w:ind w:left="0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Catalyst Clinical Research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 – Raleigh, NC </w:t>
        <w:tab/>
        <w:t xml:space="preserve">                                                 </w:t>
        <w:tab/>
        <w:t xml:space="preserve">          </w:t>
        <w:tab/>
        <w:t xml:space="preserve">           May 2020 – August 2022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Biostatistician Intern; Contract research organization providing multi-therapeutic resourcing and cancer therapies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Assisted lead project statistician in several different early phase clinical trials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ranging from standard oncology studies to more unique studies, such as ones dealing with Achondroplasia.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Validated study listings using SAS version 9.4 on a Windows based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Reprogrammed listings for an independent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Annotated all of the case report form documents for the programmers to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Addressed client comments on outputs and dataset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Read and conformed with Catalyst Standard Operating Procedures (SOPs).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Programmed listings and tables from CDISC (Clinical Data Interchange Standards Consortium) data sets including both SDTM (Study Data Tabulation Model) and ADaM (Analysis Dataset Model).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58" w:firstLine="0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ind w:hanging="114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ADDITIONAL INFORMATION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Proficient in R, SAS, and SQL, while actively working towards proficiency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Familiar with Java, CSS, and HTML.</w:t>
      </w:r>
    </w:p>
    <w:sectPr>
      <w:pgSz w:h="15840" w:w="12240" w:orient="portrait"/>
      <w:pgMar w:bottom="720" w:top="333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4EmZe5sKMEHfih3IzbjnHAUIKQ==">CgMxLjAyCGguZ2pkZ3hzOAByITFVbzFuXzJRaGRCdUtNbXBmZWJwOFVETlc2WmFFaTQ4Tg==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