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tabs>
          <w:tab w:val="left" w:leader="none" w:pos="1483"/>
        </w:tabs>
        <w:jc w:val="center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32"/>
          <w:szCs w:val="32"/>
          <w:rtl w:val="0"/>
        </w:rPr>
        <w:t xml:space="preserve">SIMON P. WEISENHORN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tabs>
          <w:tab w:val="left" w:leader="none" w:pos="1483"/>
        </w:tabs>
        <w:jc w:val="center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simonweisenhorn@gmail.com | (704) 666-0010 | www.linkedin.com/in/simon-weisenhorn-stat</w:t>
      </w:r>
    </w:p>
    <w:p w:rsidR="00000000" w:rsidDel="00000000" w:rsidP="00000000" w:rsidRDefault="00000000" w:rsidRPr="00000000" w14:paraId="00000003">
      <w:pPr>
        <w:tabs>
          <w:tab w:val="left" w:leader="none" w:pos="1483"/>
        </w:tabs>
        <w:jc w:val="center"/>
        <w:rPr>
          <w:rFonts w:ascii="Times New Roman" w:cs="Times New Roman" w:eastAsia="Times New Roman" w:hAnsi="Times New Roman"/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858.0" w:type="dxa"/>
        <w:jc w:val="left"/>
        <w:tblBorders>
          <w:top w:color="000000" w:space="0" w:sz="4" w:val="single"/>
          <w:left w:color="000000" w:space="0" w:sz="0" w:val="nil"/>
          <w:bottom w:color="000000" w:space="0" w:sz="4" w:val="single"/>
          <w:right w:color="000000" w:space="0" w:sz="0" w:val="nil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858"/>
        <w:tblGridChange w:id="0">
          <w:tblGrid>
            <w:gridCol w:w="10858"/>
          </w:tblGrid>
        </w:tblGridChange>
      </w:tblGrid>
      <w:tr>
        <w:trPr>
          <w:cantSplit w:val="0"/>
          <w:trHeight w:val="295" w:hRule="atLeast"/>
          <w:tblHeader w:val="0"/>
        </w:trPr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04">
            <w:pPr>
              <w:ind w:left="-114" w:right="-14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EDUCATION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North Carolina State University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rtl w:val="0"/>
        </w:rPr>
        <w:t xml:space="preserve">–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Raleigh, NC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ab/>
        <w:t xml:space="preserve">      </w:t>
        <w:tab/>
        <w:tab/>
        <w:t xml:space="preserve">      </w:t>
        <w:tab/>
        <w:t xml:space="preserve">                               August 2023</w:t>
      </w:r>
    </w:p>
    <w:p w:rsidR="00000000" w:rsidDel="00000000" w:rsidP="00000000" w:rsidRDefault="00000000" w:rsidRPr="00000000" w14:paraId="00000006">
      <w:pPr>
        <w:rPr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2"/>
          <w:szCs w:val="22"/>
          <w:rtl w:val="0"/>
        </w:rPr>
        <w:t xml:space="preserve">Master of Statistics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University of North Carolina at Chapel Hill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rtl w:val="0"/>
        </w:rPr>
        <w:t xml:space="preserve">–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Chapel Hill, NC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ab/>
        <w:t xml:space="preserve">      </w:t>
        <w:tab/>
        <w:tab/>
        <w:t xml:space="preserve">                      May 2022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i w:val="1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2"/>
          <w:szCs w:val="22"/>
          <w:rtl w:val="0"/>
        </w:rPr>
        <w:t xml:space="preserve">B.S., Statistics and Analytics</w:t>
      </w:r>
    </w:p>
    <w:p w:rsidR="00000000" w:rsidDel="00000000" w:rsidP="00000000" w:rsidRDefault="00000000" w:rsidRPr="00000000" w14:paraId="0000000A">
      <w:pPr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2"/>
          <w:szCs w:val="22"/>
          <w:rtl w:val="0"/>
        </w:rPr>
        <w:t xml:space="preserve">Data Science Minor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1016.0" w:type="dxa"/>
        <w:jc w:val="left"/>
        <w:tblBorders>
          <w:bottom w:color="000000" w:space="0" w:sz="4" w:val="single"/>
        </w:tblBorders>
        <w:tblLayout w:type="fixed"/>
        <w:tblLook w:val="0000"/>
      </w:tblPr>
      <w:tblGrid>
        <w:gridCol w:w="11016"/>
        <w:tblGridChange w:id="0">
          <w:tblGrid>
            <w:gridCol w:w="1101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ind w:hanging="114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EXPERIENCE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i w:val="1"/>
          <w:sz w:val="22"/>
          <w:szCs w:val="22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Ora, Inc.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 – Chicago, IL       </w:t>
        <w:tab/>
        <w:t xml:space="preserve">                                                 </w:t>
        <w:tab/>
        <w:t xml:space="preserve">          </w:t>
        <w:tab/>
        <w:t xml:space="preserve">          </w:t>
        <w:tab/>
        <w:t xml:space="preserve">  </w:t>
        <w:tab/>
        <w:t xml:space="preserve">     September 2023 – May 2025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2"/>
          <w:szCs w:val="22"/>
          <w:rtl w:val="0"/>
        </w:rPr>
        <w:t xml:space="preserve">Biostatistician; Contract research organization specializing in full-service ophthalmology </w:t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3"/>
        </w:numPr>
        <w:spacing w:before="5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Authored four detailed Statistical Analysis Plans (SAPs) ensuring alignment with regulatory requirements (e.g., ICH E9 guidelines) and study-specific objectives defined in clinical protocols.</w:t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3"/>
        </w:numPr>
        <w:spacing w:before="5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Served as the lead statistician on multiple early to mid-phase, multicenter, randomized, placebo-controlled clinical trials in ophthalmology, covering indications such as dry eye disease and retinitis pigmentosa.</w:t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3"/>
        </w:numPr>
        <w:spacing w:before="5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Directed collaborative efforts with cross-functional global teams, including a programming team in Hyderabad, India, to execute statistical deliverables across diverse therapeutic areas.</w:t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3"/>
        </w:numPr>
        <w:spacing w:before="5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Designed and developed comprehensive TLF (Tables, Listings, and Figures) shell documents to standardize reporting formats and streamline programming efforts.</w:t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3"/>
        </w:numPr>
        <w:spacing w:before="5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Conducted thorough reviews of CRFs (Case Report Forms) for consistency, data collection adequacy, and alignment with study endpoints and statistical methodologies.</w:t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3"/>
        </w:numPr>
        <w:spacing w:before="5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Spearheaded the development and documentation of SDTM and ADaM mapping specifications which contributed to the generation of submission-ready datasets in compliance with CDISC standards.</w:t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3"/>
        </w:numPr>
        <w:spacing w:before="5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Programmed high-quality summary tables, subject-level listings, and exploratory graphics to support clinical development decision-making and regulatory submissions.</w:t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3"/>
        </w:numPr>
        <w:spacing w:before="5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Executed all planned and exploratory statistical analyses outlined in SAPs, including subgroup analyses and sensitivity analyses; provided strategic input on data interpretation.</w:t>
      </w:r>
    </w:p>
    <w:p w:rsidR="00000000" w:rsidDel="00000000" w:rsidP="00000000" w:rsidRDefault="00000000" w:rsidRPr="00000000" w14:paraId="00000016">
      <w:pPr>
        <w:widowControl w:val="0"/>
        <w:numPr>
          <w:ilvl w:val="0"/>
          <w:numId w:val="3"/>
        </w:numPr>
        <w:spacing w:before="5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Performed statistical quality control (QC) and independent reprogramming of key outputs included in final clinical study reports (CSRs), data monitoring committees (DMCs), and data safety monitoring boards (DSMBs).</w:t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1"/>
        </w:numPr>
        <w:spacing w:before="5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Ensured proper execution of all analyses defined in the statistical analysis plan as well as any post-hoc analyses and relevant exploratory analyses of clinical trial data.</w:t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3"/>
        </w:numPr>
        <w:spacing w:before="5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Represented the Biostatistics department in regulatory agency meetings, sponsor communications, and cross-functional working groups.</w:t>
      </w:r>
    </w:p>
    <w:p w:rsidR="00000000" w:rsidDel="00000000" w:rsidP="00000000" w:rsidRDefault="00000000" w:rsidRPr="00000000" w14:paraId="00000019">
      <w:pPr>
        <w:widowControl w:val="0"/>
        <w:numPr>
          <w:ilvl w:val="0"/>
          <w:numId w:val="3"/>
        </w:numPr>
        <w:spacing w:before="5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Oversaw study-level timelines, resource planning, and budgets; monitored out-of-scope work and proactively addressed change orders and client expectations.</w:t>
      </w:r>
    </w:p>
    <w:p w:rsidR="00000000" w:rsidDel="00000000" w:rsidP="00000000" w:rsidRDefault="00000000" w:rsidRPr="00000000" w14:paraId="0000001A">
      <w:pPr>
        <w:widowControl w:val="0"/>
        <w:numPr>
          <w:ilvl w:val="0"/>
          <w:numId w:val="3"/>
        </w:numPr>
        <w:spacing w:before="5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Maintained rigorous compliance with Ora's internal quality systems and industry regulatory standards, including data integrity and ethical conduct requirements.</w:t>
      </w:r>
    </w:p>
    <w:p w:rsidR="00000000" w:rsidDel="00000000" w:rsidP="00000000" w:rsidRDefault="00000000" w:rsidRPr="00000000" w14:paraId="0000001B">
      <w:pPr>
        <w:widowControl w:val="0"/>
        <w:spacing w:before="50" w:lineRule="auto"/>
        <w:ind w:left="0" w:firstLine="0"/>
        <w:rPr>
          <w:rFonts w:ascii="Times New Roman" w:cs="Times New Roman" w:eastAsia="Times New Roman" w:hAnsi="Times New Roman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i w:val="1"/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Catalyst Clinical Research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rtl w:val="0"/>
        </w:rPr>
        <w:t xml:space="preserve"> – Raleigh, NC </w:t>
        <w:tab/>
        <w:t xml:space="preserve">                                                 </w:t>
        <w:tab/>
        <w:t xml:space="preserve">          </w:t>
        <w:tab/>
        <w:t xml:space="preserve">           May 2020 – August 2022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2"/>
          <w:szCs w:val="22"/>
          <w:rtl w:val="0"/>
        </w:rPr>
        <w:t xml:space="preserve">Biostatistician Intern; Contract research organization providing multi-therapeutic resourcing and cancer therapies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rtl w:val="0"/>
        </w:rPr>
        <w:t xml:space="preserve">Assisted lead project statistician in several different early phase clinical trials 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ranging from standard oncology studies to more unique studies, such as ones dealing with Achondroplasia.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rtl w:val="0"/>
        </w:rPr>
        <w:t xml:space="preserve">Validated study listings using SAS version 9.4 on a Windows based platform.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rtl w:val="0"/>
        </w:rPr>
        <w:t xml:space="preserve">Reprogrammed listings for an independent validation.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rtl w:val="0"/>
        </w:rPr>
        <w:t xml:space="preserve">Annotated all of the case report form documents for the programmers to reference.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rtl w:val="0"/>
        </w:rPr>
        <w:t xml:space="preserve">Addressed client comments on outputs and dataset programs.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rtl w:val="0"/>
        </w:rPr>
        <w:t xml:space="preserve">Read and conformed with Catalyst Standard Operating Procedures (SOPs).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rtl w:val="0"/>
        </w:rPr>
        <w:t xml:space="preserve">Programmed listings and tables from CDISC (Clinical Data Interchange Standards Consortium) data sets including both SDTM (Study Data Tabulation Model) and ADaM (Analysis Dataset Model).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158" w:firstLine="0"/>
        <w:rPr>
          <w:i w:val="1"/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1016.0" w:type="dxa"/>
        <w:jc w:val="left"/>
        <w:tblBorders>
          <w:top w:color="000000" w:space="0" w:sz="4" w:val="single"/>
          <w:left w:color="000000" w:space="0" w:sz="0" w:val="nil"/>
          <w:bottom w:color="000000" w:space="0" w:sz="4" w:val="single"/>
          <w:right w:color="000000" w:space="0" w:sz="0" w:val="nil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1016"/>
        <w:tblGridChange w:id="0">
          <w:tblGrid>
            <w:gridCol w:w="1101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25">
            <w:pPr>
              <w:ind w:hanging="114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ADDITIONAL INFORMATION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Proficient in R, SAS, and SQL, while actively working towards proficiency in Python.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Familiar with Java, CSS, and HTML.</w:t>
      </w:r>
    </w:p>
    <w:sectPr>
      <w:pgSz w:h="15840" w:w="12240" w:orient="portrait"/>
      <w:pgMar w:bottom="720" w:top="333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R4EmZe5sKMEHfih3IzbjnHAUIKQ==">CgMxLjAyCGguZ2pkZ3hzOAByITFVbzFuXzJRaGRCdUtNbXBmZWJwOFVETlc2WmFFaTQ4Tg==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