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2B99198E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simonpw@live.unc.edu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  <w:bookmarkStart w:id="0" w:name="_GoBack"/>
      <w:bookmarkEnd w:id="0"/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7C043E94" w14:textId="2A805EDA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33728232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A46697">
        <w:rPr>
          <w:rFonts w:eastAsia="Calibri"/>
          <w:sz w:val="22"/>
          <w:szCs w:val="22"/>
        </w:rPr>
        <w:t>44</w:t>
      </w:r>
      <w:r w:rsidR="001A768F" w:rsidRPr="0017265A">
        <w:rPr>
          <w:rFonts w:eastAsia="Calibri"/>
          <w:sz w:val="22"/>
          <w:szCs w:val="22"/>
        </w:rPr>
        <w:t xml:space="preserve"> </w:t>
      </w:r>
    </w:p>
    <w:p w14:paraId="3EB67014" w14:textId="3A43745C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="009614C9">
        <w:rPr>
          <w:rFonts w:eastAsia="Calibri"/>
          <w:sz w:val="22"/>
          <w:szCs w:val="22"/>
        </w:rPr>
        <w:t xml:space="preserve">Data Science, </w:t>
      </w:r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</w:t>
      </w:r>
      <w:r w:rsidR="009614C9">
        <w:rPr>
          <w:rFonts w:eastAsia="Calibri"/>
          <w:sz w:val="22"/>
          <w:szCs w:val="22"/>
        </w:rPr>
        <w:t xml:space="preserve">ple </w:t>
      </w:r>
      <w:r w:rsidRPr="0017265A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1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1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rospective,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4878C65A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168644DE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201</w:t>
      </w:r>
      <w:r>
        <w:rPr>
          <w:rFonts w:ascii="Times New Roman" w:hAnsi="Times New Roman" w:cs="Times New Roman"/>
          <w:color w:val="000000"/>
          <w:sz w:val="21"/>
          <w:szCs w:val="21"/>
        </w:rPr>
        <w:t>9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06D4349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 and SAS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</w:p>
    <w:p w14:paraId="1BAE1287" w14:textId="06DDD5FC" w:rsidR="00531DB2" w:rsidRDefault="00063620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</w:p>
    <w:p w14:paraId="48B91400" w14:textId="77777777" w:rsidR="00F65AF4" w:rsidRPr="00F65AF4" w:rsidRDefault="00F65AF4" w:rsidP="00F65AF4">
      <w:pPr>
        <w:rPr>
          <w:rFonts w:eastAsia="Calibri"/>
          <w:sz w:val="22"/>
          <w:szCs w:val="22"/>
        </w:rPr>
      </w:pPr>
    </w:p>
    <w:sectPr w:rsidR="00F65AF4" w:rsidRPr="00F65AF4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84962" w14:textId="77777777" w:rsidR="00370B81" w:rsidRDefault="00370B81" w:rsidP="0082614B">
      <w:r>
        <w:separator/>
      </w:r>
    </w:p>
  </w:endnote>
  <w:endnote w:type="continuationSeparator" w:id="0">
    <w:p w14:paraId="4023C91A" w14:textId="77777777" w:rsidR="00370B81" w:rsidRDefault="00370B81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B5B42" w14:textId="77777777" w:rsidR="00370B81" w:rsidRDefault="00370B81" w:rsidP="0082614B">
      <w:r>
        <w:separator/>
      </w:r>
    </w:p>
  </w:footnote>
  <w:footnote w:type="continuationSeparator" w:id="0">
    <w:p w14:paraId="0EA15F90" w14:textId="77777777" w:rsidR="00370B81" w:rsidRDefault="00370B81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5FEF"/>
    <w:rsid w:val="00063620"/>
    <w:rsid w:val="000655F4"/>
    <w:rsid w:val="0007341D"/>
    <w:rsid w:val="00084E72"/>
    <w:rsid w:val="00095821"/>
    <w:rsid w:val="000963C4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70B81"/>
    <w:rsid w:val="00381400"/>
    <w:rsid w:val="0038151E"/>
    <w:rsid w:val="0039332B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797A"/>
    <w:rsid w:val="00717DD0"/>
    <w:rsid w:val="00734C19"/>
    <w:rsid w:val="00734F94"/>
    <w:rsid w:val="0073514C"/>
    <w:rsid w:val="00747D8D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E7BF3"/>
    <w:rsid w:val="00BF148A"/>
    <w:rsid w:val="00C047E9"/>
    <w:rsid w:val="00C14E4B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72A1"/>
    <w:rsid w:val="00D57D12"/>
    <w:rsid w:val="00D86003"/>
    <w:rsid w:val="00DD6521"/>
    <w:rsid w:val="00DF2D03"/>
    <w:rsid w:val="00DF4ABF"/>
    <w:rsid w:val="00E02A90"/>
    <w:rsid w:val="00E07A29"/>
    <w:rsid w:val="00E22152"/>
    <w:rsid w:val="00E22CF0"/>
    <w:rsid w:val="00E33995"/>
    <w:rsid w:val="00E67625"/>
    <w:rsid w:val="00E91761"/>
    <w:rsid w:val="00EB6C44"/>
    <w:rsid w:val="00EC5C08"/>
    <w:rsid w:val="00EF27CD"/>
    <w:rsid w:val="00F00182"/>
    <w:rsid w:val="00F31B31"/>
    <w:rsid w:val="00F36DF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C26FE"/>
    <w:rsid w:val="00FD24BB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2</cp:revision>
  <cp:lastPrinted>2020-01-09T18:55:00Z</cp:lastPrinted>
  <dcterms:created xsi:type="dcterms:W3CDTF">2021-12-13T15:46:00Z</dcterms:created>
  <dcterms:modified xsi:type="dcterms:W3CDTF">2021-12-13T15:46:00Z</dcterms:modified>
</cp:coreProperties>
</file>