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3F01C2" w14:textId="77777777" w:rsidR="00A744D1" w:rsidRDefault="002855CB" w:rsidP="002855CB">
      <w:r>
        <w:t>Homework 3 Comp 561 Xi Meng Huang 260608596</w:t>
      </w:r>
    </w:p>
    <w:p w14:paraId="54336ABC" w14:textId="77777777" w:rsidR="002855CB" w:rsidRDefault="002855CB" w:rsidP="002855CB"/>
    <w:p w14:paraId="5392806B" w14:textId="77777777" w:rsidR="00A77B98" w:rsidRDefault="00A77B98" w:rsidP="002855CB">
      <w:r>
        <w:t>1.</w:t>
      </w:r>
    </w:p>
    <w:p w14:paraId="365565B5" w14:textId="77777777" w:rsidR="002855CB" w:rsidRDefault="00A77B98" w:rsidP="002855CB">
      <w:r>
        <w:t>a) see attached image</w:t>
      </w:r>
      <w:r w:rsidR="002C1525">
        <w:t xml:space="preserve"> 1</w:t>
      </w:r>
    </w:p>
    <w:p w14:paraId="052BAC9F" w14:textId="378C3B07" w:rsidR="00A77B98" w:rsidRDefault="00A77B98" w:rsidP="002855CB">
      <w:r>
        <w:t>b)</w:t>
      </w:r>
      <w:r w:rsidR="00A90DB5">
        <w:t xml:space="preserve"> see attached program</w:t>
      </w:r>
      <w:bookmarkStart w:id="0" w:name="_GoBack"/>
      <w:bookmarkEnd w:id="0"/>
    </w:p>
    <w:p w14:paraId="7789F765" w14:textId="77777777" w:rsidR="00A77B98" w:rsidRDefault="00A77B98" w:rsidP="002855CB">
      <w:r>
        <w:t xml:space="preserve">c) </w:t>
      </w:r>
    </w:p>
    <w:p w14:paraId="02E4E145" w14:textId="77777777" w:rsidR="00A77B98" w:rsidRDefault="00A77B98" w:rsidP="00A77B98">
      <w:r>
        <w:t xml:space="preserve">1. </w:t>
      </w:r>
      <w:r>
        <w:t>This contained the longest hydr</w:t>
      </w:r>
      <w:r>
        <w:t>ophobic sequence, at length 167:</w:t>
      </w:r>
    </w:p>
    <w:p w14:paraId="21A2C60C" w14:textId="77777777" w:rsidR="00A77B98" w:rsidRDefault="002A3915" w:rsidP="002855CB">
      <w:r w:rsidRPr="002A3915">
        <w:t>&gt;tr|E9PGV9|E9PGV9_HUMAN ATP-binding cassette sub-family G member 1 OS=Homo sapiens GN=ABCG1 PE=1 SV=1</w:t>
      </w:r>
    </w:p>
    <w:p w14:paraId="7C9473C1" w14:textId="77777777" w:rsidR="002855CB" w:rsidRDefault="00A77B98" w:rsidP="002855CB">
      <w:r>
        <w:t>2.Multiple proteins contained completely mixed regions.</w:t>
      </w:r>
      <w:r w:rsidR="002A3915">
        <w:t xml:space="preserve"> This was one of them and it contained the longest mixed region, with a length of 2345:</w:t>
      </w:r>
    </w:p>
    <w:p w14:paraId="6629A933" w14:textId="77777777" w:rsidR="002A3915" w:rsidRPr="002A3915" w:rsidRDefault="002A3915" w:rsidP="002A3915">
      <w:r w:rsidRPr="002A3915">
        <w:t>&gt;sp|Q13085|ACACA_HUMAN Acetyl-CoA carboxylase 1 OS=Homo sapiens GN=ACACA PE=1 SV=2:</w:t>
      </w:r>
    </w:p>
    <w:p w14:paraId="674CED8E" w14:textId="77777777" w:rsidR="002A3915" w:rsidRDefault="002A3915" w:rsidP="002855CB">
      <w:r>
        <w:t>3.</w:t>
      </w:r>
    </w:p>
    <w:p w14:paraId="0D424D3C" w14:textId="77777777" w:rsidR="00BA1863" w:rsidRDefault="00BA1863" w:rsidP="002855CB">
      <w:r>
        <w:rPr>
          <w:noProof/>
          <w:lang w:eastAsia="zh-CN"/>
        </w:rPr>
        <w:drawing>
          <wp:inline distT="0" distB="0" distL="0" distR="0" wp14:anchorId="51527C39" wp14:editId="647473B1">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399B8CF" w14:textId="77777777" w:rsidR="00BA1863" w:rsidRDefault="00BA1863" w:rsidP="002855CB">
      <w:r>
        <w:t>They match the properties descr</w:t>
      </w:r>
      <w:r w:rsidR="00E9407C">
        <w:t>ibed in the Hidden Markov Model to a degree. The hydrophobic is going to have shorter lengths(5) in comparison to the hydrophilic(8) and mixed(7), as its average length is shorter than the other two as described. However, the hydrophilic sections by that logic should also have greater lengths than the mixed, and I believe it is due the limited degree of distinguishability between the mixed regions and the hydrophobic and hydrophilic regions that lead to this result.</w:t>
      </w:r>
    </w:p>
    <w:p w14:paraId="7B53B802" w14:textId="77777777" w:rsidR="00E73E81" w:rsidRDefault="00E73E81" w:rsidP="002855CB"/>
    <w:p w14:paraId="55C72A9F" w14:textId="77777777" w:rsidR="002A3915" w:rsidRDefault="002A3915" w:rsidP="002855CB">
      <w:r>
        <w:t>4.</w:t>
      </w:r>
      <w:r w:rsidR="00A705F4">
        <w:t xml:space="preserve"> The hydrophobic amino acids are represented as ‘B’, hydrophilic-‘L’ and mixed –‘M’.</w:t>
      </w:r>
    </w:p>
    <w:p w14:paraId="54BB0661" w14:textId="77777777" w:rsidR="002A3915" w:rsidRDefault="002A3915" w:rsidP="002855CB"/>
    <w:p w14:paraId="25F0914E" w14:textId="77777777" w:rsidR="002855CB" w:rsidRDefault="002855CB" w:rsidP="002855CB">
      <w:r>
        <w:rPr>
          <w:noProof/>
          <w:lang w:eastAsia="zh-CN"/>
        </w:rPr>
        <w:lastRenderedPageBreak/>
        <w:drawing>
          <wp:inline distT="0" distB="0" distL="0" distR="0" wp14:anchorId="62873719" wp14:editId="7859A633">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9031D8D" w14:textId="77777777" w:rsidR="00A705F4" w:rsidRDefault="00A705F4" w:rsidP="002855CB"/>
    <w:p w14:paraId="27917740" w14:textId="77777777" w:rsidR="00E9407C" w:rsidRDefault="00E9407C" w:rsidP="002855CB">
      <w:r>
        <w:t>The hydrophobic regions are AVILMFYW, and hydrophilic regions are RHKDESTNQCGP.</w:t>
      </w:r>
      <w:r w:rsidR="00A705F4">
        <w:t xml:space="preserve"> We will separate them into two graphs.</w:t>
      </w:r>
    </w:p>
    <w:p w14:paraId="1298A19A" w14:textId="77777777" w:rsidR="00A705F4" w:rsidRDefault="00A705F4" w:rsidP="002855CB">
      <w:r>
        <w:rPr>
          <w:noProof/>
          <w:lang w:eastAsia="zh-CN"/>
        </w:rPr>
        <w:drawing>
          <wp:inline distT="0" distB="0" distL="0" distR="0" wp14:anchorId="2249F6DA" wp14:editId="0A8FDAA5">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47C5223" w14:textId="77777777" w:rsidR="00A705F4" w:rsidRDefault="00A705F4" w:rsidP="002855CB">
      <w:r>
        <w:t>The hydrophilic amino acids demonstrate a large degree of hydrophilic presence, with the appearance of hydrophilic amino acids mostly showing up in hydrophilic regions, and thus in accordance with the model.</w:t>
      </w:r>
    </w:p>
    <w:p w14:paraId="3067BD3E" w14:textId="77777777" w:rsidR="008F3A02" w:rsidRDefault="008F3A02" w:rsidP="002855CB">
      <w:r>
        <w:rPr>
          <w:noProof/>
          <w:lang w:eastAsia="zh-CN"/>
        </w:rPr>
        <w:drawing>
          <wp:inline distT="0" distB="0" distL="0" distR="0" wp14:anchorId="4BC3B06D" wp14:editId="2D542030">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6D3B3AA" w14:textId="77777777" w:rsidR="00A705F4" w:rsidRDefault="00A705F4" w:rsidP="002855CB">
      <w:r>
        <w:t>The hydrophobic graph separated into hydrophobic amino acids demonstrate that the frequency of appearance for the hydrophobic amino acids is indeed higher than it was in the hydrophilic graph.</w:t>
      </w:r>
    </w:p>
    <w:p w14:paraId="52A046D1" w14:textId="77777777" w:rsidR="00DE5C55" w:rsidRDefault="00DE5C55" w:rsidP="002855CB"/>
    <w:p w14:paraId="69C99365" w14:textId="77777777" w:rsidR="00A705F4" w:rsidRDefault="00DE5C55" w:rsidP="002855CB">
      <w:r>
        <w:t>d)Using the distributions from the data, i.e. the hydrophobic/hydrophilic amino acid distributions to remake the emission probability matrix and the acquired length distribution data to remake the transition probability matrix. Using the new probability matrices we re-construct an HMM and run the Viterbi algorithm again.</w:t>
      </w:r>
    </w:p>
    <w:p w14:paraId="752870DD" w14:textId="77777777" w:rsidR="00CB7D18" w:rsidRDefault="00CB7D18" w:rsidP="002855CB"/>
    <w:p w14:paraId="2B7ED30F" w14:textId="77777777" w:rsidR="00CB7D18" w:rsidRDefault="00CB7D18" w:rsidP="002855CB">
      <w:r>
        <w:t>2.</w:t>
      </w:r>
    </w:p>
    <w:p w14:paraId="3B73BB32" w14:textId="77777777" w:rsidR="00A06FCA" w:rsidRDefault="00CB7D18" w:rsidP="002855CB">
      <w:r>
        <w:t>a)</w:t>
      </w:r>
      <w:r w:rsidR="00A06FCA">
        <w:t xml:space="preserve">The small possibility of the in-frame stop comes from </w:t>
      </w:r>
    </w:p>
    <w:p w14:paraId="61E13159" w14:textId="77777777" w:rsidR="00CB7D18" w:rsidRDefault="00A06FCA" w:rsidP="00A06FCA">
      <w:pPr>
        <w:pStyle w:val="ListParagraph"/>
        <w:numPr>
          <w:ilvl w:val="0"/>
          <w:numId w:val="1"/>
        </w:numPr>
      </w:pPr>
      <w:r>
        <w:t>when the state transitioning from exon to intron 1 emits a T and the state transitioning from intron1 to exon emits a ‘GA’, ‘AA’, or ‘AG’</w:t>
      </w:r>
    </w:p>
    <w:p w14:paraId="172F086A" w14:textId="77777777" w:rsidR="00A06FCA" w:rsidRDefault="00A06FCA" w:rsidP="00A06FCA">
      <w:pPr>
        <w:pStyle w:val="ListParagraph"/>
        <w:numPr>
          <w:ilvl w:val="0"/>
          <w:numId w:val="1"/>
        </w:numPr>
      </w:pPr>
      <w:r>
        <w:t>when the state transitioning from exon to intron 2 emits a ‘TA’, ‘TG’ and the state transitioning from intron2 to exon emits an ‘A’, or when it emits a ‘G’ when the previous was ‘TA’</w:t>
      </w:r>
    </w:p>
    <w:p w14:paraId="02627F43" w14:textId="77777777" w:rsidR="00A06FCA" w:rsidRDefault="00A06FCA" w:rsidP="00A06FCA">
      <w:r>
        <w:t>This can result in an in-frame stop due to the fact that after splicing the codon will be a stop codon and stops transcription.</w:t>
      </w:r>
    </w:p>
    <w:p w14:paraId="17B8DC06" w14:textId="77777777" w:rsidR="00A06FCA" w:rsidRDefault="00A06FCA" w:rsidP="00A06FCA">
      <w:r>
        <w:t>b)See attached image 2</w:t>
      </w:r>
    </w:p>
    <w:p w14:paraId="29DD8BE1" w14:textId="77777777" w:rsidR="00A06FCA" w:rsidRDefault="00A06FCA" w:rsidP="00A06FCA"/>
    <w:p w14:paraId="334BFBF9" w14:textId="77777777" w:rsidR="00A06FCA" w:rsidRDefault="00A06FCA" w:rsidP="00A06FCA">
      <w:r>
        <w:t>3.</w:t>
      </w:r>
      <w:r w:rsidR="00BC2FEE">
        <w:t>See attached image 3</w:t>
      </w:r>
    </w:p>
    <w:p w14:paraId="050E5302" w14:textId="77777777" w:rsidR="00A06FCA" w:rsidRDefault="00A06FCA" w:rsidP="00A06FCA">
      <w:r>
        <w:t>4.</w:t>
      </w:r>
    </w:p>
    <w:p w14:paraId="11931526" w14:textId="77777777" w:rsidR="00A06FCA" w:rsidRDefault="00A06FCA" w:rsidP="00A06FCA">
      <w:r>
        <w:t>a) The scoring method is the z-score method demonstrated in class. Z-score is calculated, for every candidate consensus. Z-score is found using the n-score and the e-score, where the n-score is the number of matches of the candidate in all the binding sequences. E-score is foun</w:t>
      </w:r>
      <w:r w:rsidR="00BC2FEE">
        <w:t>d in the following steps:</w:t>
      </w:r>
    </w:p>
    <w:p w14:paraId="529F06BB" w14:textId="77777777" w:rsidR="00BC2FEE" w:rsidRDefault="00BC2FEE" w:rsidP="00A06FCA">
      <w:r>
        <w:t>1. Using all the sequences in the non-binding random sequences, find sum, for all sequences I from 0 to n, all the values vi where vi= length of sequence I – k(in this case 6) + 1.</w:t>
      </w:r>
    </w:p>
    <w:p w14:paraId="39D2090E" w14:textId="77777777" w:rsidR="00BC2FEE" w:rsidRDefault="00BC2FEE" w:rsidP="00A06FCA">
      <w:r>
        <w:t>2. Multiply the sum with the probability of the consensus occurring, and the probability is found by going through every element in the consensus and adding up the probably of finding that element. For example, the probability of finding A is the number of times A is found in a congregated list of all the sequences, over the length of the congregated list. For candidate consensus with multiple possibilities, such as [A,G], the probabilities is the probability of finding A + probability of finding G.</w:t>
      </w:r>
    </w:p>
    <w:p w14:paraId="49B21EC0" w14:textId="77777777" w:rsidR="00BC2FEE" w:rsidRDefault="00BC2FEE" w:rsidP="00A06FCA">
      <w:r>
        <w:t>3. The Z-score is found by subtracting the e-score from the n-score, and then dividing the whole thing by the square root of the e-score.</w:t>
      </w:r>
    </w:p>
    <w:p w14:paraId="11706349" w14:textId="77777777" w:rsidR="00013826" w:rsidRDefault="00013826" w:rsidP="00A06FCA"/>
    <w:p w14:paraId="1F9D918E" w14:textId="5C9A63DD" w:rsidR="00013826" w:rsidRDefault="00013826" w:rsidP="00A06FCA">
      <w:r>
        <w:t>b)see attached program</w:t>
      </w:r>
    </w:p>
    <w:p w14:paraId="7AE5CA9A" w14:textId="77777777" w:rsidR="00013826" w:rsidRDefault="00013826" w:rsidP="00A06FCA"/>
    <w:p w14:paraId="1B8F3D2F" w14:textId="26FFC27E" w:rsidR="00013826" w:rsidRPr="00013826" w:rsidRDefault="00013826" w:rsidP="00013826">
      <w:r>
        <w:t>c)</w:t>
      </w:r>
      <w:r w:rsidRPr="00013826">
        <w:rPr>
          <w:rFonts w:ascii="Times New Roman" w:eastAsia="Times New Roman" w:hAnsi="Times New Roman" w:cs="Times New Roman"/>
          <w:lang w:eastAsia="zh-CN"/>
        </w:rPr>
        <w:t xml:space="preserve"> </w:t>
      </w:r>
      <w:r>
        <w:t>[[‘</w:t>
      </w:r>
      <w:r w:rsidRPr="00013826">
        <w:t>A</w:t>
      </w:r>
      <w:r>
        <w:t>’,‘</w:t>
      </w:r>
      <w:r w:rsidRPr="00013826">
        <w:t>G</w:t>
      </w:r>
      <w:r>
        <w:t>’],[‘A’,‘G’],[‘A’,‘G’],[‘A’,‘G’],[‘A’,‘G’],[‘A’,‘G’]]</w:t>
      </w:r>
      <w:r w:rsidRPr="00013826">
        <w:t xml:space="preserve"> </w:t>
      </w:r>
      <w:r>
        <w:t>with a z-score of</w:t>
      </w:r>
      <w:r w:rsidRPr="00013826">
        <w:t xml:space="preserve"> 276.294050735</w:t>
      </w:r>
    </w:p>
    <w:p w14:paraId="29F6011C" w14:textId="5D955142" w:rsidR="00013826" w:rsidRPr="002855CB" w:rsidRDefault="00013826" w:rsidP="00A06FCA"/>
    <w:sectPr w:rsidR="00013826" w:rsidRPr="002855CB" w:rsidSect="005F37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154907"/>
    <w:multiLevelType w:val="hybridMultilevel"/>
    <w:tmpl w:val="A96E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5CB"/>
    <w:rsid w:val="00013826"/>
    <w:rsid w:val="002855CB"/>
    <w:rsid w:val="002A3915"/>
    <w:rsid w:val="002C1525"/>
    <w:rsid w:val="002D0E16"/>
    <w:rsid w:val="003D0E7C"/>
    <w:rsid w:val="005F37C9"/>
    <w:rsid w:val="00632083"/>
    <w:rsid w:val="00640536"/>
    <w:rsid w:val="008E1AEF"/>
    <w:rsid w:val="008F3A02"/>
    <w:rsid w:val="008F79AE"/>
    <w:rsid w:val="00A06FCA"/>
    <w:rsid w:val="00A705F4"/>
    <w:rsid w:val="00A77B98"/>
    <w:rsid w:val="00A90DB5"/>
    <w:rsid w:val="00B062A1"/>
    <w:rsid w:val="00BA1863"/>
    <w:rsid w:val="00BC2FEE"/>
    <w:rsid w:val="00CB7D18"/>
    <w:rsid w:val="00D933B3"/>
    <w:rsid w:val="00DE5C55"/>
    <w:rsid w:val="00E73E81"/>
    <w:rsid w:val="00E94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478B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A77B98"/>
    <w:rPr>
      <w:rFonts w:ascii="Helvetica Neue" w:hAnsi="Helvetica Neue" w:cs="Times New Roman"/>
      <w:color w:val="454545"/>
      <w:sz w:val="18"/>
      <w:szCs w:val="18"/>
      <w:lang w:eastAsia="zh-CN"/>
    </w:rPr>
  </w:style>
  <w:style w:type="paragraph" w:styleId="ListParagraph">
    <w:name w:val="List Paragraph"/>
    <w:basedOn w:val="Normal"/>
    <w:uiPriority w:val="34"/>
    <w:qFormat/>
    <w:rsid w:val="00A06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860">
      <w:bodyDiv w:val="1"/>
      <w:marLeft w:val="0"/>
      <w:marRight w:val="0"/>
      <w:marTop w:val="0"/>
      <w:marBottom w:val="0"/>
      <w:divBdr>
        <w:top w:val="none" w:sz="0" w:space="0" w:color="auto"/>
        <w:left w:val="none" w:sz="0" w:space="0" w:color="auto"/>
        <w:bottom w:val="none" w:sz="0" w:space="0" w:color="auto"/>
        <w:right w:val="none" w:sz="0" w:space="0" w:color="auto"/>
      </w:divBdr>
    </w:div>
    <w:div w:id="80178680">
      <w:bodyDiv w:val="1"/>
      <w:marLeft w:val="0"/>
      <w:marRight w:val="0"/>
      <w:marTop w:val="0"/>
      <w:marBottom w:val="0"/>
      <w:divBdr>
        <w:top w:val="none" w:sz="0" w:space="0" w:color="auto"/>
        <w:left w:val="none" w:sz="0" w:space="0" w:color="auto"/>
        <w:bottom w:val="none" w:sz="0" w:space="0" w:color="auto"/>
        <w:right w:val="none" w:sz="0" w:space="0" w:color="auto"/>
      </w:divBdr>
    </w:div>
    <w:div w:id="1453011331">
      <w:bodyDiv w:val="1"/>
      <w:marLeft w:val="0"/>
      <w:marRight w:val="0"/>
      <w:marTop w:val="0"/>
      <w:marBottom w:val="0"/>
      <w:divBdr>
        <w:top w:val="none" w:sz="0" w:space="0" w:color="auto"/>
        <w:left w:val="none" w:sz="0" w:space="0" w:color="auto"/>
        <w:bottom w:val="none" w:sz="0" w:space="0" w:color="auto"/>
        <w:right w:val="none" w:sz="0" w:space="0" w:color="auto"/>
      </w:divBdr>
    </w:div>
    <w:div w:id="20451329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Workbook2"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Workbook2"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Workbook2"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Work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Overall</a:t>
            </a:r>
            <a:r>
              <a:rPr lang="en-US" baseline="0"/>
              <a:t> Length Distributions of the Three States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Sheet1!$E$543:$G$543</c:f>
              <c:strCache>
                <c:ptCount val="3"/>
                <c:pt idx="0">
                  <c:v>hydrophobic</c:v>
                </c:pt>
                <c:pt idx="1">
                  <c:v>hydrophilic</c:v>
                </c:pt>
                <c:pt idx="2">
                  <c:v>mixed</c:v>
                </c:pt>
              </c:strCache>
            </c:strRef>
          </c:cat>
          <c:val>
            <c:numRef>
              <c:f>Sheet1!$E$544:$G$544</c:f>
              <c:numCache>
                <c:formatCode>General</c:formatCode>
                <c:ptCount val="3"/>
                <c:pt idx="0">
                  <c:v>5251.0</c:v>
                </c:pt>
                <c:pt idx="1">
                  <c:v>62568.0</c:v>
                </c:pt>
                <c:pt idx="2">
                  <c:v>265742.0</c:v>
                </c:pt>
              </c:numCache>
            </c:numRef>
          </c:val>
        </c:ser>
        <c:dLbls>
          <c:showLegendKey val="0"/>
          <c:showVal val="0"/>
          <c:showCatName val="0"/>
          <c:showSerName val="0"/>
          <c:showPercent val="0"/>
          <c:showBubbleSize val="0"/>
        </c:dLbls>
        <c:gapWidth val="219"/>
        <c:overlap val="-27"/>
        <c:axId val="-582402144"/>
        <c:axId val="-630512320"/>
      </c:barChart>
      <c:catAx>
        <c:axId val="-582402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512320"/>
        <c:crosses val="autoZero"/>
        <c:auto val="1"/>
        <c:lblAlgn val="ctr"/>
        <c:lblOffset val="100"/>
        <c:noMultiLvlLbl val="0"/>
      </c:catAx>
      <c:valAx>
        <c:axId val="-630512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2402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Occurrence of Each AA in each State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Sheet1!$F$6</c:f>
              <c:strCache>
                <c:ptCount val="1"/>
                <c:pt idx="0">
                  <c:v>A</c:v>
                </c:pt>
              </c:strCache>
            </c:strRef>
          </c:tx>
          <c:spPr>
            <a:solidFill>
              <a:schemeClr val="accent1"/>
            </a:solidFill>
            <a:ln>
              <a:noFill/>
            </a:ln>
            <a:effectLst/>
          </c:spPr>
          <c:invertIfNegative val="0"/>
          <c:cat>
            <c:strRef>
              <c:f>Sheet1!$G$5:$I$5</c:f>
              <c:strCache>
                <c:ptCount val="3"/>
                <c:pt idx="0">
                  <c:v>B</c:v>
                </c:pt>
                <c:pt idx="1">
                  <c:v>L</c:v>
                </c:pt>
                <c:pt idx="2">
                  <c:v>M</c:v>
                </c:pt>
              </c:strCache>
            </c:strRef>
          </c:cat>
          <c:val>
            <c:numRef>
              <c:f>Sheet1!$G$6:$I$6</c:f>
              <c:numCache>
                <c:formatCode>General</c:formatCode>
                <c:ptCount val="3"/>
                <c:pt idx="0">
                  <c:v>625.0</c:v>
                </c:pt>
                <c:pt idx="1">
                  <c:v>2690.0</c:v>
                </c:pt>
                <c:pt idx="2">
                  <c:v>20831.0</c:v>
                </c:pt>
              </c:numCache>
            </c:numRef>
          </c:val>
        </c:ser>
        <c:ser>
          <c:idx val="1"/>
          <c:order val="1"/>
          <c:tx>
            <c:strRef>
              <c:f>Sheet1!$F$7</c:f>
              <c:strCache>
                <c:ptCount val="1"/>
                <c:pt idx="0">
                  <c:v>C</c:v>
                </c:pt>
              </c:strCache>
            </c:strRef>
          </c:tx>
          <c:spPr>
            <a:solidFill>
              <a:schemeClr val="accent2"/>
            </a:solidFill>
            <a:ln>
              <a:noFill/>
            </a:ln>
            <a:effectLst/>
          </c:spPr>
          <c:invertIfNegative val="0"/>
          <c:cat>
            <c:strRef>
              <c:f>Sheet1!$G$5:$I$5</c:f>
              <c:strCache>
                <c:ptCount val="3"/>
                <c:pt idx="0">
                  <c:v>B</c:v>
                </c:pt>
                <c:pt idx="1">
                  <c:v>L</c:v>
                </c:pt>
                <c:pt idx="2">
                  <c:v>M</c:v>
                </c:pt>
              </c:strCache>
            </c:strRef>
          </c:cat>
          <c:val>
            <c:numRef>
              <c:f>Sheet1!$G$7:$I$7</c:f>
              <c:numCache>
                <c:formatCode>General</c:formatCode>
                <c:ptCount val="3"/>
                <c:pt idx="0">
                  <c:v>36.0</c:v>
                </c:pt>
                <c:pt idx="1">
                  <c:v>1307.0</c:v>
                </c:pt>
                <c:pt idx="2">
                  <c:v>4841.0</c:v>
                </c:pt>
              </c:numCache>
            </c:numRef>
          </c:val>
        </c:ser>
        <c:ser>
          <c:idx val="2"/>
          <c:order val="2"/>
          <c:tx>
            <c:strRef>
              <c:f>Sheet1!$F$8</c:f>
              <c:strCache>
                <c:ptCount val="1"/>
                <c:pt idx="0">
                  <c:v>D</c:v>
                </c:pt>
              </c:strCache>
            </c:strRef>
          </c:tx>
          <c:spPr>
            <a:solidFill>
              <a:schemeClr val="accent3"/>
            </a:solidFill>
            <a:ln>
              <a:noFill/>
            </a:ln>
            <a:effectLst/>
          </c:spPr>
          <c:invertIfNegative val="0"/>
          <c:cat>
            <c:strRef>
              <c:f>Sheet1!$G$5:$I$5</c:f>
              <c:strCache>
                <c:ptCount val="3"/>
                <c:pt idx="0">
                  <c:v>B</c:v>
                </c:pt>
                <c:pt idx="1">
                  <c:v>L</c:v>
                </c:pt>
                <c:pt idx="2">
                  <c:v>M</c:v>
                </c:pt>
              </c:strCache>
            </c:strRef>
          </c:cat>
          <c:val>
            <c:numRef>
              <c:f>Sheet1!$G$8:$I$8</c:f>
              <c:numCache>
                <c:formatCode>General</c:formatCode>
                <c:ptCount val="3"/>
                <c:pt idx="0">
                  <c:v>64.0</c:v>
                </c:pt>
                <c:pt idx="1">
                  <c:v>3460.0</c:v>
                </c:pt>
                <c:pt idx="2">
                  <c:v>11539.0</c:v>
                </c:pt>
              </c:numCache>
            </c:numRef>
          </c:val>
        </c:ser>
        <c:ser>
          <c:idx val="3"/>
          <c:order val="3"/>
          <c:tx>
            <c:strRef>
              <c:f>Sheet1!$F$9</c:f>
              <c:strCache>
                <c:ptCount val="1"/>
                <c:pt idx="0">
                  <c:v>E</c:v>
                </c:pt>
              </c:strCache>
            </c:strRef>
          </c:tx>
          <c:spPr>
            <a:solidFill>
              <a:schemeClr val="accent4"/>
            </a:solidFill>
            <a:ln>
              <a:noFill/>
            </a:ln>
            <a:effectLst/>
          </c:spPr>
          <c:invertIfNegative val="0"/>
          <c:cat>
            <c:strRef>
              <c:f>Sheet1!$G$5:$I$5</c:f>
              <c:strCache>
                <c:ptCount val="3"/>
                <c:pt idx="0">
                  <c:v>B</c:v>
                </c:pt>
                <c:pt idx="1">
                  <c:v>L</c:v>
                </c:pt>
                <c:pt idx="2">
                  <c:v>M</c:v>
                </c:pt>
              </c:strCache>
            </c:strRef>
          </c:cat>
          <c:val>
            <c:numRef>
              <c:f>Sheet1!$G$9:$I$9</c:f>
              <c:numCache>
                <c:formatCode>General</c:formatCode>
                <c:ptCount val="3"/>
                <c:pt idx="0">
                  <c:v>75.0</c:v>
                </c:pt>
                <c:pt idx="1">
                  <c:v>5931.0</c:v>
                </c:pt>
                <c:pt idx="2">
                  <c:v>15953.0</c:v>
                </c:pt>
              </c:numCache>
            </c:numRef>
          </c:val>
        </c:ser>
        <c:ser>
          <c:idx val="4"/>
          <c:order val="4"/>
          <c:tx>
            <c:strRef>
              <c:f>Sheet1!$F$10</c:f>
              <c:strCache>
                <c:ptCount val="1"/>
                <c:pt idx="0">
                  <c:v>F</c:v>
                </c:pt>
              </c:strCache>
            </c:strRef>
          </c:tx>
          <c:spPr>
            <a:solidFill>
              <a:schemeClr val="accent5"/>
            </a:solidFill>
            <a:ln>
              <a:noFill/>
            </a:ln>
            <a:effectLst/>
          </c:spPr>
          <c:invertIfNegative val="0"/>
          <c:cat>
            <c:strRef>
              <c:f>Sheet1!$G$5:$I$5</c:f>
              <c:strCache>
                <c:ptCount val="3"/>
                <c:pt idx="0">
                  <c:v>B</c:v>
                </c:pt>
                <c:pt idx="1">
                  <c:v>L</c:v>
                </c:pt>
                <c:pt idx="2">
                  <c:v>M</c:v>
                </c:pt>
              </c:strCache>
            </c:strRef>
          </c:cat>
          <c:val>
            <c:numRef>
              <c:f>Sheet1!$G$10:$I$10</c:f>
              <c:numCache>
                <c:formatCode>General</c:formatCode>
                <c:ptCount val="3"/>
                <c:pt idx="0">
                  <c:v>586.0</c:v>
                </c:pt>
                <c:pt idx="1">
                  <c:v>1435.0</c:v>
                </c:pt>
                <c:pt idx="2">
                  <c:v>11896.0</c:v>
                </c:pt>
              </c:numCache>
            </c:numRef>
          </c:val>
        </c:ser>
        <c:ser>
          <c:idx val="5"/>
          <c:order val="5"/>
          <c:tx>
            <c:strRef>
              <c:f>Sheet1!$F$11</c:f>
              <c:strCache>
                <c:ptCount val="1"/>
                <c:pt idx="0">
                  <c:v>G</c:v>
                </c:pt>
              </c:strCache>
            </c:strRef>
          </c:tx>
          <c:spPr>
            <a:solidFill>
              <a:schemeClr val="accent6"/>
            </a:solidFill>
            <a:ln>
              <a:noFill/>
            </a:ln>
            <a:effectLst/>
          </c:spPr>
          <c:invertIfNegative val="0"/>
          <c:cat>
            <c:strRef>
              <c:f>Sheet1!$G$5:$I$5</c:f>
              <c:strCache>
                <c:ptCount val="3"/>
                <c:pt idx="0">
                  <c:v>B</c:v>
                </c:pt>
                <c:pt idx="1">
                  <c:v>L</c:v>
                </c:pt>
                <c:pt idx="2">
                  <c:v>M</c:v>
                </c:pt>
              </c:strCache>
            </c:strRef>
          </c:cat>
          <c:val>
            <c:numRef>
              <c:f>Sheet1!$G$11:$I$11</c:f>
              <c:numCache>
                <c:formatCode>General</c:formatCode>
                <c:ptCount val="3"/>
                <c:pt idx="0">
                  <c:v>109.0</c:v>
                </c:pt>
                <c:pt idx="1">
                  <c:v>5788.0</c:v>
                </c:pt>
                <c:pt idx="2">
                  <c:v>17723.0</c:v>
                </c:pt>
              </c:numCache>
            </c:numRef>
          </c:val>
        </c:ser>
        <c:ser>
          <c:idx val="6"/>
          <c:order val="6"/>
          <c:tx>
            <c:strRef>
              <c:f>Sheet1!$F$12</c:f>
              <c:strCache>
                <c:ptCount val="1"/>
                <c:pt idx="0">
                  <c:v>H</c:v>
                </c:pt>
              </c:strCache>
            </c:strRef>
          </c:tx>
          <c:spPr>
            <a:solidFill>
              <a:schemeClr val="accent1">
                <a:lumMod val="60000"/>
              </a:schemeClr>
            </a:solidFill>
            <a:ln>
              <a:noFill/>
            </a:ln>
            <a:effectLst/>
          </c:spPr>
          <c:invertIfNegative val="0"/>
          <c:cat>
            <c:strRef>
              <c:f>Sheet1!$G$5:$I$5</c:f>
              <c:strCache>
                <c:ptCount val="3"/>
                <c:pt idx="0">
                  <c:v>B</c:v>
                </c:pt>
                <c:pt idx="1">
                  <c:v>L</c:v>
                </c:pt>
                <c:pt idx="2">
                  <c:v>M</c:v>
                </c:pt>
              </c:strCache>
            </c:strRef>
          </c:cat>
          <c:val>
            <c:numRef>
              <c:f>Sheet1!$G$12:$I$12</c:f>
              <c:numCache>
                <c:formatCode>General</c:formatCode>
                <c:ptCount val="3"/>
                <c:pt idx="0">
                  <c:v>37.0</c:v>
                </c:pt>
                <c:pt idx="1">
                  <c:v>1725.0</c:v>
                </c:pt>
                <c:pt idx="2">
                  <c:v>6245.0</c:v>
                </c:pt>
              </c:numCache>
            </c:numRef>
          </c:val>
        </c:ser>
        <c:ser>
          <c:idx val="7"/>
          <c:order val="7"/>
          <c:tx>
            <c:strRef>
              <c:f>Sheet1!$F$13</c:f>
              <c:strCache>
                <c:ptCount val="1"/>
                <c:pt idx="0">
                  <c:v>I</c:v>
                </c:pt>
              </c:strCache>
            </c:strRef>
          </c:tx>
          <c:spPr>
            <a:solidFill>
              <a:schemeClr val="accent2">
                <a:lumMod val="60000"/>
              </a:schemeClr>
            </a:solidFill>
            <a:ln>
              <a:noFill/>
            </a:ln>
            <a:effectLst/>
          </c:spPr>
          <c:invertIfNegative val="0"/>
          <c:cat>
            <c:strRef>
              <c:f>Sheet1!$G$5:$I$5</c:f>
              <c:strCache>
                <c:ptCount val="3"/>
                <c:pt idx="0">
                  <c:v>B</c:v>
                </c:pt>
                <c:pt idx="1">
                  <c:v>L</c:v>
                </c:pt>
                <c:pt idx="2">
                  <c:v>M</c:v>
                </c:pt>
              </c:strCache>
            </c:strRef>
          </c:cat>
          <c:val>
            <c:numRef>
              <c:f>Sheet1!$G$13:$I$13</c:f>
              <c:numCache>
                <c:formatCode>General</c:formatCode>
                <c:ptCount val="3"/>
                <c:pt idx="0">
                  <c:v>521.0</c:v>
                </c:pt>
                <c:pt idx="1">
                  <c:v>1565.0</c:v>
                </c:pt>
                <c:pt idx="2">
                  <c:v>14787.0</c:v>
                </c:pt>
              </c:numCache>
            </c:numRef>
          </c:val>
        </c:ser>
        <c:ser>
          <c:idx val="8"/>
          <c:order val="8"/>
          <c:tx>
            <c:strRef>
              <c:f>Sheet1!$F$14</c:f>
              <c:strCache>
                <c:ptCount val="1"/>
                <c:pt idx="0">
                  <c:v>K</c:v>
                </c:pt>
              </c:strCache>
            </c:strRef>
          </c:tx>
          <c:spPr>
            <a:solidFill>
              <a:schemeClr val="accent3">
                <a:lumMod val="60000"/>
              </a:schemeClr>
            </a:solidFill>
            <a:ln>
              <a:noFill/>
            </a:ln>
            <a:effectLst/>
          </c:spPr>
          <c:invertIfNegative val="0"/>
          <c:cat>
            <c:strRef>
              <c:f>Sheet1!$G$5:$I$5</c:f>
              <c:strCache>
                <c:ptCount val="3"/>
                <c:pt idx="0">
                  <c:v>B</c:v>
                </c:pt>
                <c:pt idx="1">
                  <c:v>L</c:v>
                </c:pt>
                <c:pt idx="2">
                  <c:v>M</c:v>
                </c:pt>
              </c:strCache>
            </c:strRef>
          </c:cat>
          <c:val>
            <c:numRef>
              <c:f>Sheet1!$G$14:$I$14</c:f>
              <c:numCache>
                <c:formatCode>General</c:formatCode>
                <c:ptCount val="3"/>
                <c:pt idx="0">
                  <c:v>73.0</c:v>
                </c:pt>
                <c:pt idx="1">
                  <c:v>3424.0</c:v>
                </c:pt>
                <c:pt idx="2">
                  <c:v>13298.0</c:v>
                </c:pt>
              </c:numCache>
            </c:numRef>
          </c:val>
        </c:ser>
        <c:ser>
          <c:idx val="9"/>
          <c:order val="9"/>
          <c:tx>
            <c:strRef>
              <c:f>Sheet1!$F$15</c:f>
              <c:strCache>
                <c:ptCount val="1"/>
                <c:pt idx="0">
                  <c:v>L</c:v>
                </c:pt>
              </c:strCache>
            </c:strRef>
          </c:tx>
          <c:spPr>
            <a:solidFill>
              <a:schemeClr val="accent4">
                <a:lumMod val="60000"/>
              </a:schemeClr>
            </a:solidFill>
            <a:ln>
              <a:noFill/>
            </a:ln>
            <a:effectLst/>
          </c:spPr>
          <c:invertIfNegative val="0"/>
          <c:cat>
            <c:strRef>
              <c:f>Sheet1!$G$5:$I$5</c:f>
              <c:strCache>
                <c:ptCount val="3"/>
                <c:pt idx="0">
                  <c:v>B</c:v>
                </c:pt>
                <c:pt idx="1">
                  <c:v>L</c:v>
                </c:pt>
                <c:pt idx="2">
                  <c:v>M</c:v>
                </c:pt>
              </c:strCache>
            </c:strRef>
          </c:cat>
          <c:val>
            <c:numRef>
              <c:f>Sheet1!$G$15:$I$15</c:f>
              <c:numCache>
                <c:formatCode>General</c:formatCode>
                <c:ptCount val="3"/>
                <c:pt idx="0">
                  <c:v>1154.0</c:v>
                </c:pt>
                <c:pt idx="1">
                  <c:v>3753.0</c:v>
                </c:pt>
                <c:pt idx="2">
                  <c:v>30337.0</c:v>
                </c:pt>
              </c:numCache>
            </c:numRef>
          </c:val>
        </c:ser>
        <c:ser>
          <c:idx val="10"/>
          <c:order val="10"/>
          <c:tx>
            <c:strRef>
              <c:f>Sheet1!$F$16</c:f>
              <c:strCache>
                <c:ptCount val="1"/>
                <c:pt idx="0">
                  <c:v>M</c:v>
                </c:pt>
              </c:strCache>
            </c:strRef>
          </c:tx>
          <c:spPr>
            <a:solidFill>
              <a:schemeClr val="accent5">
                <a:lumMod val="60000"/>
              </a:schemeClr>
            </a:solidFill>
            <a:ln>
              <a:noFill/>
            </a:ln>
            <a:effectLst/>
          </c:spPr>
          <c:invertIfNegative val="0"/>
          <c:cat>
            <c:strRef>
              <c:f>Sheet1!$G$5:$I$5</c:f>
              <c:strCache>
                <c:ptCount val="3"/>
                <c:pt idx="0">
                  <c:v>B</c:v>
                </c:pt>
                <c:pt idx="1">
                  <c:v>L</c:v>
                </c:pt>
                <c:pt idx="2">
                  <c:v>M</c:v>
                </c:pt>
              </c:strCache>
            </c:strRef>
          </c:cat>
          <c:val>
            <c:numRef>
              <c:f>Sheet1!$G$16:$I$16</c:f>
              <c:numCache>
                <c:formatCode>General</c:formatCode>
                <c:ptCount val="3"/>
                <c:pt idx="0">
                  <c:v>262.0</c:v>
                </c:pt>
                <c:pt idx="1">
                  <c:v>727.0</c:v>
                </c:pt>
                <c:pt idx="2">
                  <c:v>7210.0</c:v>
                </c:pt>
              </c:numCache>
            </c:numRef>
          </c:val>
        </c:ser>
        <c:ser>
          <c:idx val="11"/>
          <c:order val="11"/>
          <c:tx>
            <c:strRef>
              <c:f>Sheet1!$F$17</c:f>
              <c:strCache>
                <c:ptCount val="1"/>
                <c:pt idx="0">
                  <c:v>N</c:v>
                </c:pt>
              </c:strCache>
            </c:strRef>
          </c:tx>
          <c:spPr>
            <a:solidFill>
              <a:schemeClr val="accent6">
                <a:lumMod val="60000"/>
              </a:schemeClr>
            </a:solidFill>
            <a:ln>
              <a:noFill/>
            </a:ln>
            <a:effectLst/>
          </c:spPr>
          <c:invertIfNegative val="0"/>
          <c:cat>
            <c:strRef>
              <c:f>Sheet1!$G$5:$I$5</c:f>
              <c:strCache>
                <c:ptCount val="3"/>
                <c:pt idx="0">
                  <c:v>B</c:v>
                </c:pt>
                <c:pt idx="1">
                  <c:v>L</c:v>
                </c:pt>
                <c:pt idx="2">
                  <c:v>M</c:v>
                </c:pt>
              </c:strCache>
            </c:strRef>
          </c:cat>
          <c:val>
            <c:numRef>
              <c:f>Sheet1!$G$17:$I$17</c:f>
              <c:numCache>
                <c:formatCode>General</c:formatCode>
                <c:ptCount val="3"/>
                <c:pt idx="0">
                  <c:v>57.0</c:v>
                </c:pt>
                <c:pt idx="1">
                  <c:v>2460.0</c:v>
                </c:pt>
                <c:pt idx="2">
                  <c:v>8642.0</c:v>
                </c:pt>
              </c:numCache>
            </c:numRef>
          </c:val>
        </c:ser>
        <c:ser>
          <c:idx val="12"/>
          <c:order val="12"/>
          <c:tx>
            <c:strRef>
              <c:f>Sheet1!$F$18</c:f>
              <c:strCache>
                <c:ptCount val="1"/>
                <c:pt idx="0">
                  <c:v>P</c:v>
                </c:pt>
              </c:strCache>
            </c:strRef>
          </c:tx>
          <c:spPr>
            <a:solidFill>
              <a:schemeClr val="accent1">
                <a:lumMod val="80000"/>
                <a:lumOff val="20000"/>
              </a:schemeClr>
            </a:solidFill>
            <a:ln>
              <a:noFill/>
            </a:ln>
            <a:effectLst/>
          </c:spPr>
          <c:invertIfNegative val="0"/>
          <c:cat>
            <c:strRef>
              <c:f>Sheet1!$G$5:$I$5</c:f>
              <c:strCache>
                <c:ptCount val="3"/>
                <c:pt idx="0">
                  <c:v>B</c:v>
                </c:pt>
                <c:pt idx="1">
                  <c:v>L</c:v>
                </c:pt>
                <c:pt idx="2">
                  <c:v>M</c:v>
                </c:pt>
              </c:strCache>
            </c:strRef>
          </c:cat>
          <c:val>
            <c:numRef>
              <c:f>Sheet1!$G$18:$I$18</c:f>
              <c:numCache>
                <c:formatCode>General</c:formatCode>
                <c:ptCount val="3"/>
                <c:pt idx="0">
                  <c:v>89.0</c:v>
                </c:pt>
                <c:pt idx="1">
                  <c:v>5347.0</c:v>
                </c:pt>
                <c:pt idx="2">
                  <c:v>13934.0</c:v>
                </c:pt>
              </c:numCache>
            </c:numRef>
          </c:val>
        </c:ser>
        <c:ser>
          <c:idx val="13"/>
          <c:order val="13"/>
          <c:tx>
            <c:strRef>
              <c:f>Sheet1!$F$19</c:f>
              <c:strCache>
                <c:ptCount val="1"/>
                <c:pt idx="0">
                  <c:v>Q</c:v>
                </c:pt>
              </c:strCache>
            </c:strRef>
          </c:tx>
          <c:spPr>
            <a:solidFill>
              <a:schemeClr val="accent2">
                <a:lumMod val="80000"/>
                <a:lumOff val="20000"/>
              </a:schemeClr>
            </a:solidFill>
            <a:ln>
              <a:noFill/>
            </a:ln>
            <a:effectLst/>
          </c:spPr>
          <c:invertIfNegative val="0"/>
          <c:cat>
            <c:strRef>
              <c:f>Sheet1!$G$5:$I$5</c:f>
              <c:strCache>
                <c:ptCount val="3"/>
                <c:pt idx="0">
                  <c:v>B</c:v>
                </c:pt>
                <c:pt idx="1">
                  <c:v>L</c:v>
                </c:pt>
                <c:pt idx="2">
                  <c:v>M</c:v>
                </c:pt>
              </c:strCache>
            </c:strRef>
          </c:cat>
          <c:val>
            <c:numRef>
              <c:f>Sheet1!$G$19:$I$19</c:f>
              <c:numCache>
                <c:formatCode>General</c:formatCode>
                <c:ptCount val="3"/>
                <c:pt idx="0">
                  <c:v>62.0</c:v>
                </c:pt>
                <c:pt idx="1">
                  <c:v>3204.0</c:v>
                </c:pt>
                <c:pt idx="2">
                  <c:v>10954.0</c:v>
                </c:pt>
              </c:numCache>
            </c:numRef>
          </c:val>
        </c:ser>
        <c:ser>
          <c:idx val="14"/>
          <c:order val="14"/>
          <c:tx>
            <c:strRef>
              <c:f>Sheet1!$F$20</c:f>
              <c:strCache>
                <c:ptCount val="1"/>
                <c:pt idx="0">
                  <c:v>R</c:v>
                </c:pt>
              </c:strCache>
            </c:strRef>
          </c:tx>
          <c:spPr>
            <a:solidFill>
              <a:schemeClr val="accent3">
                <a:lumMod val="80000"/>
                <a:lumOff val="20000"/>
              </a:schemeClr>
            </a:solidFill>
            <a:ln>
              <a:noFill/>
            </a:ln>
            <a:effectLst/>
          </c:spPr>
          <c:invertIfNegative val="0"/>
          <c:cat>
            <c:strRef>
              <c:f>Sheet1!$G$5:$I$5</c:f>
              <c:strCache>
                <c:ptCount val="3"/>
                <c:pt idx="0">
                  <c:v>B</c:v>
                </c:pt>
                <c:pt idx="1">
                  <c:v>L</c:v>
                </c:pt>
                <c:pt idx="2">
                  <c:v>M</c:v>
                </c:pt>
              </c:strCache>
            </c:strRef>
          </c:cat>
          <c:val>
            <c:numRef>
              <c:f>Sheet1!$G$20:$I$20</c:f>
              <c:numCache>
                <c:formatCode>General</c:formatCode>
                <c:ptCount val="3"/>
                <c:pt idx="0">
                  <c:v>95.0</c:v>
                </c:pt>
                <c:pt idx="1">
                  <c:v>4068.0</c:v>
                </c:pt>
                <c:pt idx="2">
                  <c:v>13784.0</c:v>
                </c:pt>
              </c:numCache>
            </c:numRef>
          </c:val>
        </c:ser>
        <c:ser>
          <c:idx val="15"/>
          <c:order val="15"/>
          <c:tx>
            <c:strRef>
              <c:f>Sheet1!$F$21</c:f>
              <c:strCache>
                <c:ptCount val="1"/>
                <c:pt idx="0">
                  <c:v>S</c:v>
                </c:pt>
              </c:strCache>
            </c:strRef>
          </c:tx>
          <c:spPr>
            <a:solidFill>
              <a:schemeClr val="accent4">
                <a:lumMod val="80000"/>
                <a:lumOff val="20000"/>
              </a:schemeClr>
            </a:solidFill>
            <a:ln>
              <a:noFill/>
            </a:ln>
            <a:effectLst/>
          </c:spPr>
          <c:invertIfNegative val="0"/>
          <c:cat>
            <c:strRef>
              <c:f>Sheet1!$G$5:$I$5</c:f>
              <c:strCache>
                <c:ptCount val="3"/>
                <c:pt idx="0">
                  <c:v>B</c:v>
                </c:pt>
                <c:pt idx="1">
                  <c:v>L</c:v>
                </c:pt>
                <c:pt idx="2">
                  <c:v>M</c:v>
                </c:pt>
              </c:strCache>
            </c:strRef>
          </c:cat>
          <c:val>
            <c:numRef>
              <c:f>Sheet1!$G$21:$I$21</c:f>
              <c:numCache>
                <c:formatCode>General</c:formatCode>
                <c:ptCount val="3"/>
                <c:pt idx="0">
                  <c:v>172.0</c:v>
                </c:pt>
                <c:pt idx="1">
                  <c:v>7111.0</c:v>
                </c:pt>
                <c:pt idx="2">
                  <c:v>18049.0</c:v>
                </c:pt>
              </c:numCache>
            </c:numRef>
          </c:val>
        </c:ser>
        <c:ser>
          <c:idx val="16"/>
          <c:order val="16"/>
          <c:tx>
            <c:strRef>
              <c:f>Sheet1!$F$22</c:f>
              <c:strCache>
                <c:ptCount val="1"/>
                <c:pt idx="0">
                  <c:v>T</c:v>
                </c:pt>
              </c:strCache>
            </c:strRef>
          </c:tx>
          <c:spPr>
            <a:solidFill>
              <a:schemeClr val="accent5">
                <a:lumMod val="80000"/>
                <a:lumOff val="20000"/>
              </a:schemeClr>
            </a:solidFill>
            <a:ln>
              <a:noFill/>
            </a:ln>
            <a:effectLst/>
          </c:spPr>
          <c:invertIfNegative val="0"/>
          <c:cat>
            <c:strRef>
              <c:f>Sheet1!$G$5:$I$5</c:f>
              <c:strCache>
                <c:ptCount val="3"/>
                <c:pt idx="0">
                  <c:v>B</c:v>
                </c:pt>
                <c:pt idx="1">
                  <c:v>L</c:v>
                </c:pt>
                <c:pt idx="2">
                  <c:v>M</c:v>
                </c:pt>
              </c:strCache>
            </c:strRef>
          </c:cat>
          <c:val>
            <c:numRef>
              <c:f>Sheet1!$G$22:$I$22</c:f>
              <c:numCache>
                <c:formatCode>General</c:formatCode>
                <c:ptCount val="3"/>
                <c:pt idx="0">
                  <c:v>109.0</c:v>
                </c:pt>
                <c:pt idx="1">
                  <c:v>4603.0</c:v>
                </c:pt>
                <c:pt idx="2">
                  <c:v>13648.0</c:v>
                </c:pt>
              </c:numCache>
            </c:numRef>
          </c:val>
        </c:ser>
        <c:ser>
          <c:idx val="17"/>
          <c:order val="17"/>
          <c:tx>
            <c:strRef>
              <c:f>Sheet1!$F$23</c:f>
              <c:strCache>
                <c:ptCount val="1"/>
                <c:pt idx="0">
                  <c:v>V</c:v>
                </c:pt>
              </c:strCache>
            </c:strRef>
          </c:tx>
          <c:spPr>
            <a:solidFill>
              <a:schemeClr val="accent6">
                <a:lumMod val="80000"/>
                <a:lumOff val="20000"/>
              </a:schemeClr>
            </a:solidFill>
            <a:ln>
              <a:noFill/>
            </a:ln>
            <a:effectLst/>
          </c:spPr>
          <c:invertIfNegative val="0"/>
          <c:cat>
            <c:strRef>
              <c:f>Sheet1!$G$5:$I$5</c:f>
              <c:strCache>
                <c:ptCount val="3"/>
                <c:pt idx="0">
                  <c:v>B</c:v>
                </c:pt>
                <c:pt idx="1">
                  <c:v>L</c:v>
                </c:pt>
                <c:pt idx="2">
                  <c:v>M</c:v>
                </c:pt>
              </c:strCache>
            </c:strRef>
          </c:cat>
          <c:val>
            <c:numRef>
              <c:f>Sheet1!$G$23:$I$23</c:f>
              <c:numCache>
                <c:formatCode>General</c:formatCode>
                <c:ptCount val="3"/>
                <c:pt idx="0">
                  <c:v>641.0</c:v>
                </c:pt>
                <c:pt idx="1">
                  <c:v>2549.0</c:v>
                </c:pt>
                <c:pt idx="2">
                  <c:v>19065.0</c:v>
                </c:pt>
              </c:numCache>
            </c:numRef>
          </c:val>
        </c:ser>
        <c:ser>
          <c:idx val="18"/>
          <c:order val="18"/>
          <c:tx>
            <c:strRef>
              <c:f>Sheet1!$F$24</c:f>
              <c:strCache>
                <c:ptCount val="1"/>
                <c:pt idx="0">
                  <c:v>W</c:v>
                </c:pt>
              </c:strCache>
            </c:strRef>
          </c:tx>
          <c:spPr>
            <a:solidFill>
              <a:schemeClr val="accent1">
                <a:lumMod val="80000"/>
              </a:schemeClr>
            </a:solidFill>
            <a:ln>
              <a:noFill/>
            </a:ln>
            <a:effectLst/>
          </c:spPr>
          <c:invertIfNegative val="0"/>
          <c:cat>
            <c:strRef>
              <c:f>Sheet1!$G$5:$I$5</c:f>
              <c:strCache>
                <c:ptCount val="3"/>
                <c:pt idx="0">
                  <c:v>B</c:v>
                </c:pt>
                <c:pt idx="1">
                  <c:v>L</c:v>
                </c:pt>
                <c:pt idx="2">
                  <c:v>M</c:v>
                </c:pt>
              </c:strCache>
            </c:strRef>
          </c:cat>
          <c:val>
            <c:numRef>
              <c:f>Sheet1!$G$24:$I$24</c:f>
              <c:numCache>
                <c:formatCode>General</c:formatCode>
                <c:ptCount val="3"/>
                <c:pt idx="0">
                  <c:v>157.0</c:v>
                </c:pt>
                <c:pt idx="1">
                  <c:v>559.0</c:v>
                </c:pt>
                <c:pt idx="2">
                  <c:v>4291.0</c:v>
                </c:pt>
              </c:numCache>
            </c:numRef>
          </c:val>
        </c:ser>
        <c:ser>
          <c:idx val="19"/>
          <c:order val="19"/>
          <c:tx>
            <c:strRef>
              <c:f>Sheet1!$F$25</c:f>
              <c:strCache>
                <c:ptCount val="1"/>
                <c:pt idx="0">
                  <c:v>Y</c:v>
                </c:pt>
              </c:strCache>
            </c:strRef>
          </c:tx>
          <c:spPr>
            <a:solidFill>
              <a:schemeClr val="accent2">
                <a:lumMod val="80000"/>
              </a:schemeClr>
            </a:solidFill>
            <a:ln>
              <a:noFill/>
            </a:ln>
            <a:effectLst/>
          </c:spPr>
          <c:invertIfNegative val="0"/>
          <c:cat>
            <c:strRef>
              <c:f>Sheet1!$G$5:$I$5</c:f>
              <c:strCache>
                <c:ptCount val="3"/>
                <c:pt idx="0">
                  <c:v>B</c:v>
                </c:pt>
                <c:pt idx="1">
                  <c:v>L</c:v>
                </c:pt>
                <c:pt idx="2">
                  <c:v>M</c:v>
                </c:pt>
              </c:strCache>
            </c:strRef>
          </c:cat>
          <c:val>
            <c:numRef>
              <c:f>Sheet1!$G$25:$I$25</c:f>
              <c:numCache>
                <c:formatCode>General</c:formatCode>
                <c:ptCount val="3"/>
                <c:pt idx="0">
                  <c:v>327.0</c:v>
                </c:pt>
                <c:pt idx="1">
                  <c:v>862.0</c:v>
                </c:pt>
                <c:pt idx="2">
                  <c:v>8715.0</c:v>
                </c:pt>
              </c:numCache>
            </c:numRef>
          </c:val>
        </c:ser>
        <c:dLbls>
          <c:showLegendKey val="0"/>
          <c:showVal val="0"/>
          <c:showCatName val="0"/>
          <c:showSerName val="0"/>
          <c:showPercent val="0"/>
          <c:showBubbleSize val="0"/>
        </c:dLbls>
        <c:gapWidth val="219"/>
        <c:overlap val="-27"/>
        <c:axId val="-582430256"/>
        <c:axId val="-582428480"/>
      </c:barChart>
      <c:catAx>
        <c:axId val="-582430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2428480"/>
        <c:crosses val="autoZero"/>
        <c:auto val="1"/>
        <c:lblAlgn val="ctr"/>
        <c:lblOffset val="100"/>
        <c:noMultiLvlLbl val="0"/>
      </c:catAx>
      <c:valAx>
        <c:axId val="-5824284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2430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Hydrophilic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Sheet1!$G$6</c:f>
              <c:strCache>
                <c:ptCount val="1"/>
                <c:pt idx="0">
                  <c:v>B</c:v>
                </c:pt>
              </c:strCache>
            </c:strRef>
          </c:tx>
          <c:spPr>
            <a:solidFill>
              <a:schemeClr val="accent1"/>
            </a:solidFill>
            <a:ln>
              <a:noFill/>
            </a:ln>
            <a:effectLst/>
          </c:spPr>
          <c:invertIfNegative val="0"/>
          <c:cat>
            <c:strRef>
              <c:f>Sheet1!$F$7:$F$18</c:f>
              <c:strCache>
                <c:ptCount val="12"/>
                <c:pt idx="0">
                  <c:v>C</c:v>
                </c:pt>
                <c:pt idx="1">
                  <c:v>D</c:v>
                </c:pt>
                <c:pt idx="2">
                  <c:v>E</c:v>
                </c:pt>
                <c:pt idx="3">
                  <c:v>G</c:v>
                </c:pt>
                <c:pt idx="4">
                  <c:v>H</c:v>
                </c:pt>
                <c:pt idx="5">
                  <c:v>K</c:v>
                </c:pt>
                <c:pt idx="6">
                  <c:v>N</c:v>
                </c:pt>
                <c:pt idx="7">
                  <c:v>P</c:v>
                </c:pt>
                <c:pt idx="8">
                  <c:v>Q</c:v>
                </c:pt>
                <c:pt idx="9">
                  <c:v>R</c:v>
                </c:pt>
                <c:pt idx="10">
                  <c:v>S</c:v>
                </c:pt>
                <c:pt idx="11">
                  <c:v>T</c:v>
                </c:pt>
              </c:strCache>
            </c:strRef>
          </c:cat>
          <c:val>
            <c:numRef>
              <c:f>Sheet1!$G$7:$G$18</c:f>
              <c:numCache>
                <c:formatCode>General</c:formatCode>
                <c:ptCount val="12"/>
                <c:pt idx="0">
                  <c:v>36.0</c:v>
                </c:pt>
                <c:pt idx="1">
                  <c:v>64.0</c:v>
                </c:pt>
                <c:pt idx="2">
                  <c:v>75.0</c:v>
                </c:pt>
                <c:pt idx="3">
                  <c:v>109.0</c:v>
                </c:pt>
                <c:pt idx="4">
                  <c:v>37.0</c:v>
                </c:pt>
                <c:pt idx="5">
                  <c:v>73.0</c:v>
                </c:pt>
                <c:pt idx="6">
                  <c:v>57.0</c:v>
                </c:pt>
                <c:pt idx="7">
                  <c:v>89.0</c:v>
                </c:pt>
                <c:pt idx="8">
                  <c:v>62.0</c:v>
                </c:pt>
                <c:pt idx="9">
                  <c:v>95.0</c:v>
                </c:pt>
                <c:pt idx="10">
                  <c:v>172.0</c:v>
                </c:pt>
                <c:pt idx="11">
                  <c:v>109.0</c:v>
                </c:pt>
              </c:numCache>
            </c:numRef>
          </c:val>
        </c:ser>
        <c:ser>
          <c:idx val="1"/>
          <c:order val="1"/>
          <c:tx>
            <c:strRef>
              <c:f>Sheet1!$H$6</c:f>
              <c:strCache>
                <c:ptCount val="1"/>
                <c:pt idx="0">
                  <c:v>L</c:v>
                </c:pt>
              </c:strCache>
            </c:strRef>
          </c:tx>
          <c:spPr>
            <a:solidFill>
              <a:schemeClr val="accent2"/>
            </a:solidFill>
            <a:ln>
              <a:noFill/>
            </a:ln>
            <a:effectLst/>
          </c:spPr>
          <c:invertIfNegative val="0"/>
          <c:cat>
            <c:strRef>
              <c:f>Sheet1!$F$7:$F$18</c:f>
              <c:strCache>
                <c:ptCount val="12"/>
                <c:pt idx="0">
                  <c:v>C</c:v>
                </c:pt>
                <c:pt idx="1">
                  <c:v>D</c:v>
                </c:pt>
                <c:pt idx="2">
                  <c:v>E</c:v>
                </c:pt>
                <c:pt idx="3">
                  <c:v>G</c:v>
                </c:pt>
                <c:pt idx="4">
                  <c:v>H</c:v>
                </c:pt>
                <c:pt idx="5">
                  <c:v>K</c:v>
                </c:pt>
                <c:pt idx="6">
                  <c:v>N</c:v>
                </c:pt>
                <c:pt idx="7">
                  <c:v>P</c:v>
                </c:pt>
                <c:pt idx="8">
                  <c:v>Q</c:v>
                </c:pt>
                <c:pt idx="9">
                  <c:v>R</c:v>
                </c:pt>
                <c:pt idx="10">
                  <c:v>S</c:v>
                </c:pt>
                <c:pt idx="11">
                  <c:v>T</c:v>
                </c:pt>
              </c:strCache>
            </c:strRef>
          </c:cat>
          <c:val>
            <c:numRef>
              <c:f>Sheet1!$H$7:$H$18</c:f>
              <c:numCache>
                <c:formatCode>General</c:formatCode>
                <c:ptCount val="12"/>
                <c:pt idx="0">
                  <c:v>1307.0</c:v>
                </c:pt>
                <c:pt idx="1">
                  <c:v>3460.0</c:v>
                </c:pt>
                <c:pt idx="2">
                  <c:v>5931.0</c:v>
                </c:pt>
                <c:pt idx="3">
                  <c:v>5788.0</c:v>
                </c:pt>
                <c:pt idx="4">
                  <c:v>1725.0</c:v>
                </c:pt>
                <c:pt idx="5">
                  <c:v>3424.0</c:v>
                </c:pt>
                <c:pt idx="6">
                  <c:v>2460.0</c:v>
                </c:pt>
                <c:pt idx="7">
                  <c:v>5347.0</c:v>
                </c:pt>
                <c:pt idx="8">
                  <c:v>3204.0</c:v>
                </c:pt>
                <c:pt idx="9">
                  <c:v>4068.0</c:v>
                </c:pt>
                <c:pt idx="10">
                  <c:v>7111.0</c:v>
                </c:pt>
                <c:pt idx="11">
                  <c:v>4603.0</c:v>
                </c:pt>
              </c:numCache>
            </c:numRef>
          </c:val>
        </c:ser>
        <c:ser>
          <c:idx val="2"/>
          <c:order val="2"/>
          <c:tx>
            <c:strRef>
              <c:f>Sheet1!$I$6</c:f>
              <c:strCache>
                <c:ptCount val="1"/>
                <c:pt idx="0">
                  <c:v>M</c:v>
                </c:pt>
              </c:strCache>
            </c:strRef>
          </c:tx>
          <c:spPr>
            <a:solidFill>
              <a:schemeClr val="accent3"/>
            </a:solidFill>
            <a:ln>
              <a:noFill/>
            </a:ln>
            <a:effectLst/>
          </c:spPr>
          <c:invertIfNegative val="0"/>
          <c:cat>
            <c:strRef>
              <c:f>Sheet1!$F$7:$F$18</c:f>
              <c:strCache>
                <c:ptCount val="12"/>
                <c:pt idx="0">
                  <c:v>C</c:v>
                </c:pt>
                <c:pt idx="1">
                  <c:v>D</c:v>
                </c:pt>
                <c:pt idx="2">
                  <c:v>E</c:v>
                </c:pt>
                <c:pt idx="3">
                  <c:v>G</c:v>
                </c:pt>
                <c:pt idx="4">
                  <c:v>H</c:v>
                </c:pt>
                <c:pt idx="5">
                  <c:v>K</c:v>
                </c:pt>
                <c:pt idx="6">
                  <c:v>N</c:v>
                </c:pt>
                <c:pt idx="7">
                  <c:v>P</c:v>
                </c:pt>
                <c:pt idx="8">
                  <c:v>Q</c:v>
                </c:pt>
                <c:pt idx="9">
                  <c:v>R</c:v>
                </c:pt>
                <c:pt idx="10">
                  <c:v>S</c:v>
                </c:pt>
                <c:pt idx="11">
                  <c:v>T</c:v>
                </c:pt>
              </c:strCache>
            </c:strRef>
          </c:cat>
          <c:val>
            <c:numRef>
              <c:f>Sheet1!$I$7:$I$18</c:f>
              <c:numCache>
                <c:formatCode>General</c:formatCode>
                <c:ptCount val="12"/>
                <c:pt idx="0">
                  <c:v>4841.0</c:v>
                </c:pt>
                <c:pt idx="1">
                  <c:v>11539.0</c:v>
                </c:pt>
                <c:pt idx="2">
                  <c:v>15953.0</c:v>
                </c:pt>
                <c:pt idx="3">
                  <c:v>17723.0</c:v>
                </c:pt>
                <c:pt idx="4">
                  <c:v>6245.0</c:v>
                </c:pt>
                <c:pt idx="5">
                  <c:v>13298.0</c:v>
                </c:pt>
                <c:pt idx="6">
                  <c:v>8642.0</c:v>
                </c:pt>
                <c:pt idx="7">
                  <c:v>13934.0</c:v>
                </c:pt>
                <c:pt idx="8">
                  <c:v>10954.0</c:v>
                </c:pt>
                <c:pt idx="9">
                  <c:v>13784.0</c:v>
                </c:pt>
                <c:pt idx="10">
                  <c:v>18049.0</c:v>
                </c:pt>
                <c:pt idx="11">
                  <c:v>13648.0</c:v>
                </c:pt>
              </c:numCache>
            </c:numRef>
          </c:val>
        </c:ser>
        <c:dLbls>
          <c:showLegendKey val="0"/>
          <c:showVal val="0"/>
          <c:showCatName val="0"/>
          <c:showSerName val="0"/>
          <c:showPercent val="0"/>
          <c:showBubbleSize val="0"/>
        </c:dLbls>
        <c:gapWidth val="219"/>
        <c:overlap val="-27"/>
        <c:axId val="-582123808"/>
        <c:axId val="-630490000"/>
      </c:barChart>
      <c:catAx>
        <c:axId val="-5821238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0490000"/>
        <c:crosses val="autoZero"/>
        <c:auto val="1"/>
        <c:lblAlgn val="ctr"/>
        <c:lblOffset val="100"/>
        <c:noMultiLvlLbl val="0"/>
      </c:catAx>
      <c:valAx>
        <c:axId val="-630490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2123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Hydrophobic</a:t>
            </a:r>
            <a:r>
              <a:rPr lang="en-US" baseline="0"/>
              <a:t> Chart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Sheet1!$C$6</c:f>
              <c:strCache>
                <c:ptCount val="1"/>
                <c:pt idx="0">
                  <c:v>B</c:v>
                </c:pt>
              </c:strCache>
            </c:strRef>
          </c:tx>
          <c:spPr>
            <a:solidFill>
              <a:schemeClr val="accent1"/>
            </a:solidFill>
            <a:ln>
              <a:noFill/>
            </a:ln>
            <a:effectLst/>
          </c:spPr>
          <c:invertIfNegative val="0"/>
          <c:cat>
            <c:strRef>
              <c:f>Sheet1!$B$7:$B$14</c:f>
              <c:strCache>
                <c:ptCount val="8"/>
                <c:pt idx="0">
                  <c:v>A</c:v>
                </c:pt>
                <c:pt idx="1">
                  <c:v>V</c:v>
                </c:pt>
                <c:pt idx="2">
                  <c:v>I</c:v>
                </c:pt>
                <c:pt idx="3">
                  <c:v>L</c:v>
                </c:pt>
                <c:pt idx="4">
                  <c:v>M</c:v>
                </c:pt>
                <c:pt idx="5">
                  <c:v>F</c:v>
                </c:pt>
                <c:pt idx="6">
                  <c:v>Y</c:v>
                </c:pt>
                <c:pt idx="7">
                  <c:v>W</c:v>
                </c:pt>
              </c:strCache>
            </c:strRef>
          </c:cat>
          <c:val>
            <c:numRef>
              <c:f>Sheet1!$C$7:$C$14</c:f>
              <c:numCache>
                <c:formatCode>General</c:formatCode>
                <c:ptCount val="8"/>
                <c:pt idx="0">
                  <c:v>2690.0</c:v>
                </c:pt>
                <c:pt idx="1">
                  <c:v>2549.0</c:v>
                </c:pt>
                <c:pt idx="2">
                  <c:v>1565.0</c:v>
                </c:pt>
                <c:pt idx="3">
                  <c:v>3753.0</c:v>
                </c:pt>
                <c:pt idx="4">
                  <c:v>727.0</c:v>
                </c:pt>
                <c:pt idx="5">
                  <c:v>1435.0</c:v>
                </c:pt>
                <c:pt idx="6">
                  <c:v>862.0</c:v>
                </c:pt>
                <c:pt idx="7">
                  <c:v>559.0</c:v>
                </c:pt>
              </c:numCache>
            </c:numRef>
          </c:val>
        </c:ser>
        <c:ser>
          <c:idx val="1"/>
          <c:order val="1"/>
          <c:tx>
            <c:strRef>
              <c:f>Sheet1!$D$6</c:f>
              <c:strCache>
                <c:ptCount val="1"/>
                <c:pt idx="0">
                  <c:v>L</c:v>
                </c:pt>
              </c:strCache>
            </c:strRef>
          </c:tx>
          <c:spPr>
            <a:solidFill>
              <a:schemeClr val="accent2"/>
            </a:solidFill>
            <a:ln>
              <a:noFill/>
            </a:ln>
            <a:effectLst/>
          </c:spPr>
          <c:invertIfNegative val="0"/>
          <c:cat>
            <c:strRef>
              <c:f>Sheet1!$B$7:$B$14</c:f>
              <c:strCache>
                <c:ptCount val="8"/>
                <c:pt idx="0">
                  <c:v>A</c:v>
                </c:pt>
                <c:pt idx="1">
                  <c:v>V</c:v>
                </c:pt>
                <c:pt idx="2">
                  <c:v>I</c:v>
                </c:pt>
                <c:pt idx="3">
                  <c:v>L</c:v>
                </c:pt>
                <c:pt idx="4">
                  <c:v>M</c:v>
                </c:pt>
                <c:pt idx="5">
                  <c:v>F</c:v>
                </c:pt>
                <c:pt idx="6">
                  <c:v>Y</c:v>
                </c:pt>
                <c:pt idx="7">
                  <c:v>W</c:v>
                </c:pt>
              </c:strCache>
            </c:strRef>
          </c:cat>
          <c:val>
            <c:numRef>
              <c:f>Sheet1!$D$7:$D$14</c:f>
              <c:numCache>
                <c:formatCode>General</c:formatCode>
                <c:ptCount val="8"/>
                <c:pt idx="0">
                  <c:v>625.0</c:v>
                </c:pt>
                <c:pt idx="1">
                  <c:v>641.0</c:v>
                </c:pt>
                <c:pt idx="2">
                  <c:v>521.0</c:v>
                </c:pt>
                <c:pt idx="3">
                  <c:v>1154.0</c:v>
                </c:pt>
                <c:pt idx="4">
                  <c:v>262.0</c:v>
                </c:pt>
                <c:pt idx="5">
                  <c:v>586.0</c:v>
                </c:pt>
                <c:pt idx="6">
                  <c:v>327.0</c:v>
                </c:pt>
                <c:pt idx="7">
                  <c:v>157.0</c:v>
                </c:pt>
              </c:numCache>
            </c:numRef>
          </c:val>
        </c:ser>
        <c:ser>
          <c:idx val="2"/>
          <c:order val="2"/>
          <c:tx>
            <c:strRef>
              <c:f>Sheet1!$E$6</c:f>
              <c:strCache>
                <c:ptCount val="1"/>
                <c:pt idx="0">
                  <c:v>M</c:v>
                </c:pt>
              </c:strCache>
            </c:strRef>
          </c:tx>
          <c:spPr>
            <a:solidFill>
              <a:schemeClr val="accent3"/>
            </a:solidFill>
            <a:ln>
              <a:noFill/>
            </a:ln>
            <a:effectLst/>
          </c:spPr>
          <c:invertIfNegative val="0"/>
          <c:cat>
            <c:strRef>
              <c:f>Sheet1!$B$7:$B$14</c:f>
              <c:strCache>
                <c:ptCount val="8"/>
                <c:pt idx="0">
                  <c:v>A</c:v>
                </c:pt>
                <c:pt idx="1">
                  <c:v>V</c:v>
                </c:pt>
                <c:pt idx="2">
                  <c:v>I</c:v>
                </c:pt>
                <c:pt idx="3">
                  <c:v>L</c:v>
                </c:pt>
                <c:pt idx="4">
                  <c:v>M</c:v>
                </c:pt>
                <c:pt idx="5">
                  <c:v>F</c:v>
                </c:pt>
                <c:pt idx="6">
                  <c:v>Y</c:v>
                </c:pt>
                <c:pt idx="7">
                  <c:v>W</c:v>
                </c:pt>
              </c:strCache>
            </c:strRef>
          </c:cat>
          <c:val>
            <c:numRef>
              <c:f>Sheet1!$E$7:$E$14</c:f>
              <c:numCache>
                <c:formatCode>General</c:formatCode>
                <c:ptCount val="8"/>
                <c:pt idx="0">
                  <c:v>20831.0</c:v>
                </c:pt>
                <c:pt idx="1">
                  <c:v>19065.0</c:v>
                </c:pt>
                <c:pt idx="2">
                  <c:v>14787.0</c:v>
                </c:pt>
                <c:pt idx="3">
                  <c:v>30337.0</c:v>
                </c:pt>
                <c:pt idx="4">
                  <c:v>7210.0</c:v>
                </c:pt>
                <c:pt idx="5">
                  <c:v>11896.0</c:v>
                </c:pt>
                <c:pt idx="6">
                  <c:v>8715.0</c:v>
                </c:pt>
                <c:pt idx="7">
                  <c:v>4291.0</c:v>
                </c:pt>
              </c:numCache>
            </c:numRef>
          </c:val>
        </c:ser>
        <c:dLbls>
          <c:showLegendKey val="0"/>
          <c:showVal val="0"/>
          <c:showCatName val="0"/>
          <c:showSerName val="0"/>
          <c:showPercent val="0"/>
          <c:showBubbleSize val="0"/>
        </c:dLbls>
        <c:gapWidth val="219"/>
        <c:overlap val="-27"/>
        <c:axId val="-1023837568"/>
        <c:axId val="-1024028256"/>
      </c:barChart>
      <c:catAx>
        <c:axId val="-1023837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4028256"/>
        <c:crosses val="autoZero"/>
        <c:auto val="1"/>
        <c:lblAlgn val="ctr"/>
        <c:lblOffset val="100"/>
        <c:noMultiLvlLbl val="0"/>
      </c:catAx>
      <c:valAx>
        <c:axId val="-1024028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3837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1</Words>
  <Characters>3753</Characters>
  <Application>Microsoft Macintosh Word</Application>
  <DocSecurity>0</DocSecurity>
  <Lines>85</Lines>
  <Paragraphs>1</Paragraphs>
  <ScaleCrop>false</ScaleCrop>
  <HeadingPairs>
    <vt:vector size="2" baseType="variant">
      <vt:variant>
        <vt:lpstr>Title</vt:lpstr>
      </vt:variant>
      <vt:variant>
        <vt:i4>1</vt:i4>
      </vt:variant>
    </vt:vector>
  </HeadingPairs>
  <TitlesOfParts>
    <vt:vector size="1" baseType="lpstr">
      <vt:lpstr/>
    </vt:vector>
  </TitlesOfParts>
  <Company>SAP Canada</Company>
  <LinksUpToDate>false</LinksUpToDate>
  <CharactersWithSpaces>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Xi Meng</dc:creator>
  <cp:keywords/>
  <dc:description/>
  <cp:lastModifiedBy>Huang, Xi Meng</cp:lastModifiedBy>
  <cp:revision>3</cp:revision>
  <dcterms:created xsi:type="dcterms:W3CDTF">2017-11-14T20:15:00Z</dcterms:created>
  <dcterms:modified xsi:type="dcterms:W3CDTF">2017-11-15T01:50:00Z</dcterms:modified>
</cp:coreProperties>
</file>