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a365d"/>
          <w:sz w:val="30"/>
          <w:szCs w:val="30"/>
          <w:rtl w:val="0"/>
        </w:rPr>
        <w:t xml:space="preserve">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a365d" w:space="4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left"/>
        <w:tblInd w:w="-115.0" w:type="dxa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4a5568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Population Health Leadership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4a5568"/>
                <w:sz w:val="17"/>
                <w:szCs w:val="17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Caleb Edwards, M.D. — Data Analytics T</w:t>
            </w:r>
            <w:r w:rsidDel="00000000" w:rsidR="00000000" w:rsidRPr="00000000">
              <w:rPr>
                <w:rtl w:val="0"/>
              </w:rPr>
              <w:t xml:space="preserve">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4a5568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August 12,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4a5568"/>
                <w:sz w:val="17"/>
                <w:szCs w:val="17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Targeting pharmacy utilization review using within-specialty cost benchmarks — Colorado Medicare Part D,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19"/>
          <w:szCs w:val="19"/>
          <w:rtl w:val="0"/>
        </w:rPr>
        <w:t xml:space="preserve">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 within-specialty prescribing review and scope the first wave to 507 clinicians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across four segments — Nurse Practitioner, Physician Assistant, Internal Medicine, and Family Practice. Each sits above their own specialty's 95th percentile for cost per claim; together they account for $317.6M, 54% of all flagged Part D dollars in Colorado.  Add Urology as a small second wave — nine prescribers hold 53.0% of that specialty's entire spend.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19"/>
          <w:szCs w:val="19"/>
          <w:rtl w:val="0"/>
        </w:rPr>
        <w:t xml:space="preserve">WHY THE USUAL SCREEN MISSES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A statewide high-cost list is a list of oncologists and geneticists — expensive because their drugs are expensive, not because their prescribing is unusual.  Of the 965 Colorado prescribers who exceed their own specialty's 95th percentile,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467 (48%) never appear on a statewide top-5% list at all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.  Conversely, 431 of 929 statewide flags are fully explained by case mix.  Cost per claim is also effectively uncorrelated with claim volume (r = −0.011), so a spend-ranked review list and a unit-cost-ranked list find different people.  Ranking spend alone will not surface this cohort.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19"/>
          <w:szCs w:val="19"/>
          <w:rtl w:val="0"/>
        </w:rPr>
        <w:t xml:space="preserve">WHAT THE FLAGGED COHORT REPRESENTS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Across the 46 Colorado specialties with at least 30 prescribers, 965 clinicians — 5.1% — carry 22.1% of qualifying spend ($587.1M against $2.74B statewide).  Their median total drug cost is 29× the median of every other prescriber (Kruskal–Wallis H = 658.6, p &lt; 0.001).  That test runs on total cost, not the unit-cost measure used to build the flag, so the gap is not an artifact of the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19"/>
          <w:szCs w:val="19"/>
          <w:rtl w:val="0"/>
        </w:rPr>
        <w:t xml:space="preserve">FIRST-WAVE PRIORITY SEGMENTS</w:t>
      </w: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Clinicians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Spend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of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Nurse Practitioner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$109.3M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27.8%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$137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Physician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$106.7M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41.6%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Internal Medicine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$60.3M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19.1%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Family Practice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$41.3M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Tier 1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$317.6M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Urology (Tier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$26.7M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53.0%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$320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4a5568"/>
          <w:sz w:val="15"/>
          <w:szCs w:val="15"/>
          <w:rtl w:val="0"/>
        </w:rPr>
        <w:t xml:space="preserve">Spend flagged = 2024 Part D drug cost held by prescribers above their own specialty's 95th percentile cost per claim. Source: CMS Medicare Part D Prescribers by Provider and Drug, 2024, Colorado.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19"/>
          <w:szCs w:val="19"/>
          <w:rtl w:val="0"/>
        </w:rPr>
        <w:t xml:space="preserve">SUGGESTED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1.  Pull the 507 NPIs and cross-reference against your attributed panels; expect only a subset to be in-network.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2.  Scope the drug review narrowly.  The top 20 generic </w:t>
      </w:r>
      <w:r w:rsidDel="00000000" w:rsidR="00000000" w:rsidRPr="00000000">
        <w:rPr>
          <w:rtl w:val="0"/>
        </w:rPr>
        <w:t xml:space="preserve">drugs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>carry 45.5% of Colorado Part D spend, so a formulary and utilization review touching 20 drugs covers nearly half the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3.  Open with education, not audit.  Share each clinician's cost per claim against their own specialty's distribution — a peer benchmark most prescribers have never 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4.  Deprioritize Hematology-Oncology, Pulmonary Disease, and Cardiology relative to their raw dollar rank — their high unit costs are largely explained by the specialty itself, and the clinical justification for those agents is stronger.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cbd5e0" w:space="4" w:sz="6" w:val="single"/>
        </w:pBd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0"/>
          <w:szCs w:val="20"/>
          <w:rtl w:val="0"/>
        </w:rPr>
        <w:t xml:space="preserve">Important limitation. This dataset carries no diagnoses, no severity, and no panel composition. A within-specialty outlier is a statistical outlier — a reason to look, not a finding of waste or impropriety. Reported cost is gross, not net of rebates, and beneficiary counts are suppressed on 58.9% of rows, so no per-patient rate is computed anywhere in this analysis.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93" w:top="893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0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