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Analysis Report - DAB04272026 Midterm</w:t>
      </w:r>
    </w:p>
    <w:p>
      <w:pPr>
        <w:pStyle w:val="Heading1"/>
        <w:spacing w:after="120" w:before="240"/>
      </w:pPr>
      <w:r>
        <w:t xml:space="preserve">Dataset Introduction</w:t>
      </w:r>
    </w:p>
    <w:p>
      <w:pPr>
        <w:pStyle w:val="Heading2"/>
        <w:spacing w:after="120" w:before="240"/>
      </w:pPr>
      <w:r>
        <w:t xml:space="preserve">Source of Data</w:t>
      </w:r>
    </w:p>
    <w:p>
      <w:pPr>
        <w:pStyle w:val="ListParagraph"/>
        <w:numPr>
          <w:ilvl w:val="0"/>
          <w:numId w:val="2"/>
        </w:numPr>
        <w:spacing w:after="100"/>
      </w:pPr>
      <w:r>
        <w:t xml:space="preserve">https://www.kaggle.com/datasets/mpwolke/cusersmarildownloadshospcsv</w:t>
      </w:r>
    </w:p>
    <w:p>
      <w:pPr>
        <w:pStyle w:val="ListParagraph"/>
        <w:numPr>
          <w:ilvl w:val="0"/>
          <w:numId w:val="2"/>
        </w:numPr>
        <w:spacing w:after="100"/>
      </w:pPr>
      <w:r>
        <w:t xml:space="preserve">Underlying data originates from California Health and Human Services (CHHS) and its Open Data Portal (https://data.chhs.ca.gov/dataset/hospital-staffing-2009-2013)</w:t>
      </w:r>
    </w:p>
    <w:p>
      <w:pPr>
        <w:pStyle w:val="Heading2"/>
        <w:spacing w:after="120" w:before="240"/>
      </w:pPr>
      <w:r>
        <w:t xml:space="preserve">Size</w:t>
      </w:r>
    </w:p>
    <w:p>
      <w:pPr>
        <w:pStyle w:val="ListParagraph"/>
        <w:numPr>
          <w:ilvl w:val="0"/>
          <w:numId w:val="2"/>
        </w:numPr>
        <w:spacing w:after="100"/>
      </w:pPr>
      <w:r>
        <w:t xml:space="preserve">1 raw table comprised of 37,604 records, each with 10 columns</w:t>
      </w:r>
    </w:p>
    <w:p>
      <w:pPr>
        <w:pStyle w:val="ListParagraph"/>
        <w:numPr>
          <w:ilvl w:val="0"/>
          <w:numId w:val="2"/>
        </w:numPr>
        <w:spacing w:after="100"/>
      </w:pPr>
      <w:r>
        <w:t xml:space="preserve">Split during cleaning into two analysis tables by hours_type taxonomy: labor_hrs (20,490 rows) and cost_centers (14,343 rows)</w:t>
      </w:r>
    </w:p>
    <w:p>
      <w:pPr>
        <w:pStyle w:val="Heading2"/>
        <w:spacing w:after="120" w:before="240"/>
      </w:pPr>
      <w:r>
        <w:t xml:space="preserve">General Subject Matter</w:t>
      </w:r>
    </w:p>
    <w:p>
      <w:pPr>
        <w:pStyle w:val="ListParagraph"/>
        <w:numPr>
          <w:ilvl w:val="0"/>
          <w:numId w:val="2"/>
        </w:numPr>
        <w:spacing w:after="100"/>
      </w:pPr>
      <w:r>
        <w:t xml:space="preserve">Working hours at licensed healthcare facilities in California</w:t>
      </w:r>
    </w:p>
    <w:p>
      <w:pPr>
        <w:pStyle w:val="Heading1"/>
        <w:spacing w:after="120" w:before="240"/>
      </w:pPr>
      <w:r>
        <w:t xml:space="preserve">Analysis Objectives</w:t>
      </w:r>
    </w:p>
    <w:p>
      <w:pPr>
        <w:pStyle w:val="Heading2"/>
        <w:spacing w:after="120" w:before="240"/>
      </w:pPr>
      <w:r>
        <w:t xml:space="preserve">Business Questions Being Investigated</w:t>
      </w:r>
    </w:p>
    <w:p>
      <w:pPr>
        <w:pStyle w:val="ListParagraph"/>
        <w:numPr>
          <w:ilvl w:val="0"/>
          <w:numId w:val="2"/>
        </w:numPr>
        <w:spacing w:after="100"/>
      </w:pPr>
      <w:r>
        <w:t xml:space="preserve">BQ1 (Trend): How much labor does the average California hospital use, and did that change between 2009 and 2013?</w:t>
      </w:r>
    </w:p>
    <w:p>
      <w:pPr>
        <w:pStyle w:val="ListParagraph"/>
        <w:numPr>
          <w:ilvl w:val="0"/>
          <w:numId w:val="2"/>
        </w:numPr>
        <w:spacing w:after="100"/>
      </w:pPr>
      <w:r>
        <w:t xml:space="preserve">BQ2 (Comparison): Which regions of California consistently staff above or below the statewide average, and how large is the gap?</w:t>
      </w:r>
    </w:p>
    <w:p>
      <w:pPr>
        <w:pStyle w:val="ListParagraph"/>
        <w:numPr>
          <w:ilvl w:val="0"/>
          <w:numId w:val="2"/>
        </w:numPr>
        <w:spacing w:after="100"/>
      </w:pPr>
      <w:r>
        <w:t xml:space="preserve">BQ3 (Composition): Do California's highest- and lowest-volume regions employ different kinds of workers, or the same workers in different parts of the hospital?</w:t>
      </w:r>
    </w:p>
    <w:p>
      <w:pPr>
        <w:pStyle w:val="ListParagraph"/>
        <w:numPr>
          <w:ilvl w:val="0"/>
          <w:numId w:val="2"/>
        </w:numPr>
        <w:spacing w:after="100"/>
      </w:pPr>
      <w:r>
        <w:t xml:space="preserve">BQ4 (Relationship): Do larger California hospitals use more labor hours per patient day than smaller ones?</w:t>
      </w:r>
    </w:p>
    <w:p>
      <w:pPr>
        <w:pStyle w:val="ListParagraph"/>
        <w:numPr>
          <w:ilvl w:val="0"/>
          <w:numId w:val="2"/>
        </w:numPr>
        <w:spacing w:after="100"/>
      </w:pPr>
      <w:r>
        <w:t xml:space="preserve">BQ5 (Distribution): Is staffing intensity consistent across counties and facilities within a volume peer group, or driven by a small number of outliers?</w:t>
      </w:r>
    </w:p>
    <w:p>
      <w:pPr>
        <w:pStyle w:val="Heading2"/>
        <w:spacing w:after="120" w:before="240"/>
      </w:pPr>
      <w:r>
        <w:t xml:space="preserve">Patterns or Trends the Analysis Hopes to Uncover</w:t>
      </w:r>
    </w:p>
    <w:p>
      <w:pPr>
        <w:pStyle w:val="ListParagraph"/>
        <w:numPr>
          <w:ilvl w:val="0"/>
          <w:numId w:val="2"/>
        </w:numPr>
        <w:spacing w:after="100"/>
      </w:pPr>
      <w:r>
        <w:t xml:space="preserve">Whether statewide labor utilization is rising, falling, or flat over the five-year window, and whether that stability masks a widening spread across facilities.</w:t>
      </w:r>
    </w:p>
    <w:p>
      <w:pPr>
        <w:pStyle w:val="ListParagraph"/>
        <w:numPr>
          <w:ilvl w:val="0"/>
          <w:numId w:val="2"/>
        </w:numPr>
        <w:spacing w:after="100"/>
      </w:pPr>
      <w:r>
        <w:t xml:space="preserve">Whether some of California's nine CESP regions staff persistently above or below the statewide average, or whether regional position shifts year to year.</w:t>
      </w:r>
    </w:p>
    <w:p>
      <w:pPr>
        <w:pStyle w:val="ListParagraph"/>
        <w:numPr>
          <w:ilvl w:val="0"/>
          <w:numId w:val="2"/>
        </w:numPr>
        <w:spacing w:after="100"/>
      </w:pPr>
      <w:r>
        <w:t xml:space="preserve">Whether the mix of labor categories differs by regional volume, or whether all regions staff the same roles in roughly the same proportions.</w:t>
      </w:r>
    </w:p>
    <w:p>
      <w:pPr>
        <w:pStyle w:val="ListParagraph"/>
        <w:numPr>
          <w:ilvl w:val="0"/>
          <w:numId w:val="2"/>
        </w:numPr>
        <w:spacing w:after="100"/>
      </w:pPr>
      <w:r>
        <w:t xml:space="preserve">Whether facility size (total labor hours) is associated with staffing intensity (hours per adjusted patient day), and in which direction.</w:t>
      </w:r>
    </w:p>
    <w:p>
      <w:pPr>
        <w:pStyle w:val="ListParagraph"/>
        <w:numPr>
          <w:ilvl w:val="0"/>
          <w:numId w:val="2"/>
        </w:numPr>
        <w:spacing w:after="100"/>
      </w:pPr>
      <w:r>
        <w:t xml:space="preserve">Whether staffing intensity within a volume peer group is broadly consistent, or driven by a small number of outlier facilities.</w:t>
      </w:r>
    </w:p>
    <w:p>
      <w:pPr>
        <w:pStyle w:val="Heading2"/>
        <w:spacing w:after="120" w:before="240"/>
      </w:pPr>
      <w:r>
        <w:t xml:space="preserve">Specific Hypotheses Being Tested</w:t>
      </w:r>
    </w:p>
    <w:p>
      <w:pPr>
        <w:pStyle w:val="ListParagraph"/>
        <w:numPr>
          <w:ilvl w:val="0"/>
          <w:numId w:val="2"/>
        </w:numPr>
        <w:spacing w:after="100"/>
      </w:pPr>
      <w:r>
        <w:t xml:space="preserve">H1 (BQ1): Average facility labor hours and PHAPD are approximately flat 2009-2013, with year-over-year changes staying within a few percentage points.</w:t>
      </w:r>
    </w:p>
    <w:p>
      <w:pPr>
        <w:pStyle w:val="ListParagraph"/>
        <w:numPr>
          <w:ilvl w:val="0"/>
          <w:numId w:val="2"/>
        </w:numPr>
        <w:spacing w:after="100"/>
      </w:pPr>
      <w:r>
        <w:t xml:space="preserve">H2 (BQ2): A consistent subset of regions staffs above the statewide PHAPD average in most or all of the five years, rather than switching sides year to year.</w:t>
      </w:r>
    </w:p>
    <w:p>
      <w:pPr>
        <w:pStyle w:val="ListParagraph"/>
        <w:numPr>
          <w:ilvl w:val="0"/>
          <w:numId w:val="2"/>
        </w:numPr>
        <w:spacing w:after="100"/>
      </w:pPr>
      <w:r>
        <w:t xml:space="preserve">H3 (BQ3): High-volume and low-volume regions differ meaningfully in which labor categories make up the largest share of their hours, reflecting different care models rather than just scaled-up versions of the same mix.</w:t>
      </w:r>
    </w:p>
    <w:p>
      <w:pPr>
        <w:pStyle w:val="ListParagraph"/>
        <w:numPr>
          <w:ilvl w:val="0"/>
          <w:numId w:val="2"/>
        </w:numPr>
        <w:spacing w:after="100"/>
      </w:pPr>
      <w:r>
        <w:t xml:space="preserve">H4 (BQ4): Facilities with more total labor hours also have higher PHAPD, i.e., size and staffing intensity are positively associated (tested as a correlation, not a causal claim).</w:t>
      </w:r>
    </w:p>
    <w:p>
      <w:pPr>
        <w:pStyle w:val="ListParagraph"/>
        <w:numPr>
          <w:ilvl w:val="0"/>
          <w:numId w:val="2"/>
        </w:numPr>
        <w:spacing w:after="100"/>
      </w:pPr>
      <w:r>
        <w:t xml:space="preserve">H5 (BQ5): Staffing intensity within a volume peer group is not uniform — a small number of facilities account for a disproportionate share of the observed outliers.</w:t>
      </w:r>
    </w:p>
    <w:p>
      <w:pPr>
        <w:pStyle w:val="Heading1"/>
        <w:spacing w:after="120" w:before="240"/>
      </w:pPr>
      <w:r>
        <w:t xml:space="preserve">Analytical Approach and Findings</w:t>
      </w:r>
    </w:p>
    <w:p>
      <w:pPr>
        <w:pStyle w:val="Heading2"/>
        <w:spacing w:after="120" w:before="240"/>
      </w:pPr>
      <w:r>
        <w:t xml:space="preserve">Brief Overview of Methods Used</w:t>
      </w:r>
    </w:p>
    <w:p>
      <w:pPr>
        <w:spacing w:after="120"/>
      </w:pPr>
      <w:r>
        <w:t xml:space="preserve">The dataset was split into two SQLite tables at import — labor_hrs (20,490 rows, 10 labor-classification hours_types) and cost_centers (14,343 rows, 7 cost-center hours_types) — with region denormalized onto both. All business questions operate at the facility-year grain (2,049 facility-years, 2009-2013), built by summing across the 10 labor hours_type rows per facility-year while excluding rows flagged phapd_missing = "Y". Five analytical techniques were applied:</w:t>
      </w:r>
    </w:p>
    <w:p>
      <w:pPr>
        <w:pStyle w:val="ListParagraph"/>
        <w:numPr>
          <w:ilvl w:val="0"/>
          <w:numId w:val="2"/>
        </w:numPr>
        <w:spacing w:after="100"/>
      </w:pPr>
      <w:r>
        <w:t xml:space="preserve">Trend analysis (BQ1): year-over-year percent change and coefficient of variation on statewide average facility labor hours and PHAPD, to separate a flat mean from a widening spread.</w:t>
      </w:r>
    </w:p>
    <w:p>
      <w:pPr>
        <w:pStyle w:val="ListParagraph"/>
        <w:numPr>
          <w:ilvl w:val="0"/>
          <w:numId w:val="2"/>
        </w:numPr>
        <w:spacing w:after="100"/>
      </w:pPr>
      <w:r>
        <w:t xml:space="preserve">Ranked comparison (BQ2): region-level averages benchmarked against the statewide mean, with a per-year above/below flag summed across all 5 years to distinguish persistent from occasional over/under-staffing.</w:t>
      </w:r>
    </w:p>
    <w:p>
      <w:pPr>
        <w:pStyle w:val="ListParagraph"/>
        <w:numPr>
          <w:ilvl w:val="0"/>
          <w:numId w:val="2"/>
        </w:numPr>
        <w:spacing w:after="100"/>
      </w:pPr>
      <w:r>
        <w:t xml:space="preserve">Compositional analysis (BQ3): hours_type share of total hours computed for three volume tiers (High/Mid/Low, 3 regions each, ranked by average facility labor hours) across both taxonomies — labor_hrs answering "who" is staffed, cost_centers answering "where" hours are spent.</w:t>
      </w:r>
    </w:p>
    <w:p>
      <w:pPr>
        <w:pStyle w:val="ListParagraph"/>
        <w:numPr>
          <w:ilvl w:val="0"/>
          <w:numId w:val="2"/>
        </w:numPr>
        <w:spacing w:after="100"/>
      </w:pPr>
      <w:r>
        <w:t xml:space="preserve">Quartile and correlation analysis (BQ4): NTILE(4) window functions on facility-year hours with average PHAPD per quartile, and a reverse NTILE(4) on PHAPD to confirm the relationship holds from either direction.</w:t>
      </w:r>
    </w:p>
    <w:p>
      <w:pPr>
        <w:pStyle w:val="ListParagraph"/>
        <w:numPr>
          <w:ilvl w:val="0"/>
          <w:numId w:val="2"/>
        </w:numPr>
        <w:spacing w:after="100"/>
      </w:pPr>
      <w:r>
        <w:t xml:space="preserve">Distribution and outlier analysis (BQ5): five-number summaries and Tukey fence (1.5x and 3x IQR) outlier detection for a low-volume peer group and a medium/high-volume peer group, both pooled and by individual region.</w:t>
      </w:r>
    </w:p>
    <w:p>
      <w:pPr>
        <w:pStyle w:val="Heading2"/>
        <w:spacing w:after="120" w:before="240"/>
      </w:pPr>
      <w:r>
        <w:t xml:space="preserve">Query Explanations and Insights</w:t>
      </w:r>
    </w:p>
    <w:p>
      <w:pPr>
        <w:pStyle w:val="Heading3"/>
        <w:spacing w:after="120" w:before="240"/>
      </w:pPr>
      <w:r>
        <w:t xml:space="preserve">BQ1 — Trend</w:t>
      </w:r>
    </w:p>
    <w:p>
      <w:pPr>
        <w:spacing w:after="120"/>
      </w:pPr>
      <w:r>
        <w:t xml:space="preserve">Queries summed productive_hours and PHAPD by year and divided by facility count to get statewide per-facility averages, then applied LAG() for year-over-year percent change and a variance decomposition (E[X²] − E[X]²) for standard deviation and coefficient of variation by year.</w:t>
      </w:r>
    </w:p>
    <w:p>
      <w:pPr>
        <w:pStyle w:val="ListParagraph"/>
        <w:numPr>
          <w:ilvl w:val="0"/>
          <w:numId w:val="2"/>
        </w:numPr>
        <w:spacing w:after="100"/>
      </w:pPr>
      <w:r>
        <w:t xml:space="preserve">Average facility labor hours held essentially flat, ranging 1.91M-1.95M across all five years, with year-over-year changes under 2.2% every year.</w:t>
      </w:r>
    </w:p>
    <w:p>
      <w:pPr>
        <w:pStyle w:val="ListParagraph"/>
        <w:numPr>
          <w:ilvl w:val="0"/>
          <w:numId w:val="2"/>
        </w:numPr>
        <w:spacing w:after="100"/>
      </w:pPr>
      <w:r>
        <w:t xml:space="preserve">Average facility PHAPD was similarly flat (28.32 in 2009 to 28.36 in 2013), dipping to 27.34 in 2010 before recovering.</w:t>
      </w:r>
    </w:p>
    <w:p>
      <w:pPr>
        <w:pStyle w:val="ListParagraph"/>
        <w:numPr>
          <w:ilvl w:val="0"/>
          <w:numId w:val="2"/>
        </w:numPr>
        <w:spacing w:after="100"/>
      </w:pPr>
      <w:r>
        <w:t xml:space="preserve">Behind the flat means, dispersion widened: the coefficient of variation on facility labor hours rose steadily from 118.4% (2009) to 127.6% (2013), and the coefficient of variation on facility PHAPD ended marginally higher than it started (55.7% to 56.0%) after dipping to 47.1% in 2010. Facilities are becoming less alike even though the statewide average is stable.</w:t>
      </w:r>
    </w:p>
    <w:p>
      <w:pPr>
        <w:pStyle w:val="Heading3"/>
        <w:spacing w:after="120" w:before="240"/>
      </w:pPr>
      <w:r>
        <w:t xml:space="preserve">BQ2 — Comparison</w:t>
      </w:r>
    </w:p>
    <w:p>
      <w:pPr>
        <w:spacing w:after="120"/>
      </w:pPr>
      <w:r>
        <w:t xml:space="preserve">Queries computed each region's average facility hours and PHAPD, ranked against the unweighted 9-region statewide mean, then repeated the comparison per-year with a partitioned window function to count how many of the 5 years each region landed above the statewide average.</w:t>
      </w:r>
    </w:p>
    <w:p>
      <w:pPr>
        <w:pStyle w:val="ListParagraph"/>
        <w:numPr>
          <w:ilvl w:val="0"/>
          <w:numId w:val="2"/>
        </w:numPr>
        <w:spacing w:after="100"/>
      </w:pPr>
      <w:r>
        <w:t xml:space="preserve">Central Sierra staffs the most intensively of any region (38.74 PHAPD, +9.81 above the 9-region average) and was above the statewide average in all 5 years.</w:t>
      </w:r>
    </w:p>
    <w:p>
      <w:pPr>
        <w:pStyle w:val="ListParagraph"/>
        <w:numPr>
          <w:ilvl w:val="0"/>
          <w:numId w:val="2"/>
        </w:numPr>
        <w:spacing w:after="100"/>
      </w:pPr>
      <w:r>
        <w:t xml:space="preserve">Southern Border staffs the least intensively (24.53 PHAPD) despite the highest average labor-hour volume (2.44M hours), and was never above the statewide PHAPD average in any year.</w:t>
      </w:r>
    </w:p>
    <w:p>
      <w:pPr>
        <w:pStyle w:val="ListParagraph"/>
        <w:numPr>
          <w:ilvl w:val="0"/>
          <w:numId w:val="2"/>
        </w:numPr>
        <w:spacing w:after="100"/>
      </w:pPr>
      <w:r>
        <w:t xml:space="preserve">Position on intensity and position on volume are not aligned: the High-volume tier contains both the region with the lowest PHAPD (Southern Border) and the region with the second-highest (Bay Area).</w:t>
      </w:r>
    </w:p>
    <w:p>
      <w:pPr>
        <w:pStyle w:val="Heading3"/>
        <w:spacing w:after="120" w:before="240"/>
      </w:pPr>
      <w:r>
        <w:t xml:space="preserve">BQ3 — Composition</w:t>
      </w:r>
    </w:p>
    <w:p>
      <w:pPr>
        <w:spacing w:after="120"/>
      </w:pPr>
      <w:r>
        <w:t xml:space="preserve">Regions were grouped into three volume tiers (3 regions each, ranked by average facility labor hours — an analysis choice, not a field in the source data), then hours_type share of total was computed within each tier for both the labor_hrs and cost_centers taxonomies.</w:t>
      </w:r>
    </w:p>
    <w:p>
      <w:pPr>
        <w:pStyle w:val="ListParagraph"/>
        <w:numPr>
          <w:ilvl w:val="0"/>
          <w:numId w:val="2"/>
        </w:numPr>
        <w:spacing w:after="100"/>
      </w:pPr>
      <w:r>
        <w:t xml:space="preserve">High- and Mid-volume tiers are nearly indistinguishable on labor-category composition — Registered Nurse share, for example, sits at 28.16% (High) and 27.97% (Mid).</w:t>
      </w:r>
    </w:p>
    <w:p>
      <w:pPr>
        <w:pStyle w:val="ListParagraph"/>
        <w:numPr>
          <w:ilvl w:val="0"/>
          <w:numId w:val="2"/>
        </w:numPr>
        <w:spacing w:after="100"/>
      </w:pPr>
      <w:r>
        <w:t xml:space="preserve">Clerical &amp; Other Administrative share is the one category that separates all three tiers monotonically: 13.3-14.0% (High), 14.5-16.7% (Mid), 18.2-24.4% (Low) — administrative overhead does not shrink proportionally with facility volume.</w:t>
      </w:r>
    </w:p>
    <w:p>
      <w:pPr>
        <w:pStyle w:val="ListParagraph"/>
        <w:numPr>
          <w:ilvl w:val="0"/>
          <w:numId w:val="2"/>
        </w:numPr>
        <w:spacing w:after="100"/>
      </w:pPr>
      <w:r>
        <w:t xml:space="preserve">The same High/Mid convergence holds in the cost_centers ("where") taxonomy: Daily Cost Centers account for a similar ~30-32% share in both tiers, confirming the composition finding is not an artifact of one taxonomy.</w:t>
      </w:r>
    </w:p>
    <w:p>
      <w:pPr>
        <w:pStyle w:val="Heading3"/>
        <w:spacing w:after="120" w:before="240"/>
      </w:pPr>
      <w:r>
        <w:t xml:space="preserve">BQ4 — Relationship</w:t>
      </w:r>
    </w:p>
    <w:p>
      <w:pPr>
        <w:spacing w:after="120"/>
      </w:pPr>
      <w:r>
        <w:t xml:space="preserve">Facility-years were split into hours quartiles via NTILE(4), then average PHAPD was computed per quartile; a second NTILE(4) ordered by PHAPD confirmed the relationship from the reverse direction. A follow-up trendline analysis per ownership type tested whether the relationship held uniformly.</w:t>
      </w:r>
    </w:p>
    <w:p>
      <w:pPr>
        <w:pStyle w:val="ListParagraph"/>
        <w:numPr>
          <w:ilvl w:val="0"/>
          <w:numId w:val="2"/>
        </w:numPr>
        <w:spacing w:after="100"/>
      </w:pPr>
      <w:r>
        <w:t xml:space="preserve">Average PHAPD rises monotonically with facility size across all facilities: 21.01 (smallest quartile) to 35.44 (largest quartile).</w:t>
      </w:r>
    </w:p>
    <w:p>
      <w:pPr>
        <w:pStyle w:val="ListParagraph"/>
        <w:numPr>
          <w:ilvl w:val="0"/>
          <w:numId w:val="2"/>
        </w:numPr>
        <w:spacing w:after="100"/>
      </w:pPr>
      <w:r>
        <w:t xml:space="preserve">The relationship is not uniform by ownership type: linear fits show a meaningful positive slope for City/County (R² = 0.401), a weak one for Non-Profit (R² = 0.152) and District (R² = 0.035), and an essentially flat relationship for Investor-owned facilities (R² = 0.0001).</w:t>
      </w:r>
    </w:p>
    <w:p>
      <w:pPr>
        <w:pStyle w:val="ListParagraph"/>
        <w:numPr>
          <w:ilvl w:val="0"/>
          <w:numId w:val="2"/>
        </w:numPr>
        <w:spacing w:after="100"/>
      </w:pPr>
      <w:r>
        <w:t xml:space="preserve">This is a correlation, not a causal claim — facility size and PHAPD are confounded by case mix, patient acuity, and service lines, none of which are controlled for in this dataset.</w:t>
      </w:r>
    </w:p>
    <w:p>
      <w:pPr>
        <w:pStyle w:val="Heading3"/>
        <w:spacing w:after="120" w:before="240"/>
      </w:pPr>
      <w:r>
        <w:t xml:space="preserve">BQ5 — Distribution</w:t>
      </w:r>
    </w:p>
    <w:p>
      <w:pPr>
        <w:spacing w:after="120"/>
      </w:pPr>
      <w:r>
        <w:t xml:space="preserve">Facility-year PHAPD was summarized with five-number summaries and Tukey fences (1.5x and 3x IQR) for a low-volume peer group (3 regions, n=203) and a medium/high-volume peer group (6 regions, n=1,845), both pooled and by individual region.</w:t>
      </w:r>
    </w:p>
    <w:p>
      <w:pPr>
        <w:pStyle w:val="ListParagraph"/>
        <w:numPr>
          <w:ilvl w:val="0"/>
          <w:numId w:val="2"/>
        </w:numPr>
        <w:spacing w:after="100"/>
      </w:pPr>
      <w:r>
        <w:t xml:space="preserve">The low-volume group's 6 facility-years at or above the statewide outlier threshold (≥80 PHAPD) come from just two facilities, both in Central Sierra — Mammoth Hospital (all 5 years, 101.80-130.58) and Northern Inyo Hospital (2013 only, 83.30).</w:t>
      </w:r>
    </w:p>
    <w:p>
      <w:pPr>
        <w:pStyle w:val="ListParagraph"/>
        <w:numPr>
          <w:ilvl w:val="0"/>
          <w:numId w:val="2"/>
        </w:numPr>
        <w:spacing w:after="100"/>
      </w:pPr>
      <w:r>
        <w:t xml:space="preserve">The low-volume group's outlier rate is higher than the medium/high group's (4.4% vs. 2.9%), but concentrated in far fewer facilities (3 vs. 28) — low-volume instability is a small-number-of-facilities risk, not a tier-wide pattern.</w:t>
      </w:r>
    </w:p>
    <w:p>
      <w:pPr>
        <w:pStyle w:val="ListParagraph"/>
        <w:numPr>
          <w:ilvl w:val="0"/>
          <w:numId w:val="2"/>
        </w:numPr>
        <w:spacing w:after="100"/>
      </w:pPr>
      <w:r>
        <w:t xml:space="preserve">The low-volume group is bimodal: a few very high-PHAPD facility-years pull its mean (30.10) above the medium/high group's mean (27.85), while its bottom quartile sits well below.</w:t>
      </w:r>
    </w:p>
    <w:p>
      <w:pPr>
        <w:pStyle w:val="Heading1"/>
        <w:spacing w:after="120" w:before="240"/>
      </w:pPr>
      <w:r>
        <w:t xml:space="preserve">Business Recommendations</w:t>
      </w:r>
    </w:p>
    <w:p>
      <w:pPr>
        <w:pStyle w:val="Heading2"/>
        <w:spacing w:after="120" w:before="240"/>
      </w:pPr>
      <w:r>
        <w:t xml:space="preserve">Strategic Suggestions Based on Complete Analysis</w:t>
      </w:r>
    </w:p>
    <w:p>
      <w:pPr>
        <w:pStyle w:val="ListParagraph"/>
        <w:numPr>
          <w:ilvl w:val="0"/>
          <w:numId w:val="2"/>
        </w:numPr>
        <w:spacing w:after="100"/>
      </w:pPr>
      <w:r>
        <w:t xml:space="preserve">Do not use regional labor-hour volume as a proxy for staffing efficiency. BQ2 and BQ3 show volume and PHAPD move independently — the highest-volume region is the least intensive, and the lowest-volume tier is not the least-staffed. Benchmarking frameworks should score volume and intensity as separate axes, never as a combined figure.</w:t>
      </w:r>
    </w:p>
    <w:p>
      <w:pPr>
        <w:pStyle w:val="ListParagraph"/>
        <w:numPr>
          <w:ilvl w:val="0"/>
          <w:numId w:val="2"/>
        </w:numPr>
        <w:spacing w:after="100"/>
      </w:pPr>
      <w:r>
        <w:t xml:space="preserve">Benchmark facilities against volume-matched peers rather than a single statewide PHAPD target. Because staffing intensity rises with facility size (BQ4), a flat statewide benchmark will systematically flag large facilities as overstaffed and small ones as understaffed regardless of actual practice.</w:t>
      </w:r>
    </w:p>
    <w:p>
      <w:pPr>
        <w:pStyle w:val="ListParagraph"/>
        <w:numPr>
          <w:ilvl w:val="0"/>
          <w:numId w:val="2"/>
        </w:numPr>
        <w:spacing w:after="100"/>
      </w:pPr>
      <w:r>
        <w:t xml:space="preserve">Segment by ownership before applying the size adjustment. The size-to-intensity relationship is flat for Investor-owned facilities (BQ4), so a client evaluating an Investor-owned portfolio should not assume the size-driven pattern seen elsewhere in the dataset.</w:t>
      </w:r>
    </w:p>
    <w:p>
      <w:pPr>
        <w:pStyle w:val="ListParagraph"/>
        <w:numPr>
          <w:ilvl w:val="0"/>
          <w:numId w:val="2"/>
        </w:numPr>
        <w:spacing w:after="100"/>
      </w:pPr>
      <w:r>
        <w:t xml:space="preserve">Route outlier investigation by how concentrated the outliers are. Low-volume outliers sit in a handful of specific facilities (BQ5), making targeted facility-level review more efficient than tier-wide policy; the medium/high tier’s distributed pattern is better suited to a broader peer-review process.</w:t>
      </w:r>
    </w:p>
    <w:p>
      <w:pPr>
        <w:pStyle w:val="Heading2"/>
        <w:spacing w:after="120" w:before="240"/>
      </w:pPr>
      <w:r>
        <w:t xml:space="preserve">Actionable Insights for Stakeholders</w:t>
      </w:r>
    </w:p>
    <w:p>
      <w:pPr>
        <w:pStyle w:val="ListParagraph"/>
        <w:numPr>
          <w:ilvl w:val="0"/>
          <w:numId w:val="2"/>
        </w:numPr>
        <w:spacing w:after="100"/>
      </w:pPr>
      <w:r>
        <w:t xml:space="preserve">For provider clients: Clerical &amp; Other Administrative staffing does not scale down with facility size (BQ3). Providers evaluating cost reduction at smaller facilities should examine administrative overhead first rather than assuming it shrinks linearly with volume.</w:t>
      </w:r>
    </w:p>
    <w:p>
      <w:pPr>
        <w:pStyle w:val="ListParagraph"/>
        <w:numPr>
          <w:ilvl w:val="0"/>
          <w:numId w:val="2"/>
        </w:numPr>
        <w:spacing w:after="100"/>
      </w:pPr>
      <w:r>
        <w:t xml:space="preserve">For payer clients: statewide staffing intensity has been flat on average since 2009 while the spread across facilities has widened (BQ1). A single statewide staffing norm used in reimbursement or utilization review will describe a shrinking share of facilities over time and needs scheduled recalibration.</w:t>
      </w:r>
    </w:p>
    <w:p>
      <w:pPr>
        <w:pStyle w:val="ListParagraph"/>
        <w:numPr>
          <w:ilvl w:val="0"/>
          <w:numId w:val="2"/>
        </w:numPr>
        <w:spacing w:after="100"/>
      </w:pPr>
      <w:r>
        <w:t xml:space="preserve">For both: Central Sierra's high regional intensity is driven by two identifiable facilities rather than a regional practice pattern (BQ5). Regional-level rate or policy decisions there should account for that concentration rather than treating the average as representative.</w:t>
      </w:r>
    </w:p>
    <w:p>
      <w:pPr>
        <w:pStyle w:val="ListParagraph"/>
        <w:numPr>
          <w:ilvl w:val="0"/>
          <w:numId w:val="2"/>
        </w:numPr>
        <w:spacing w:after="100"/>
      </w:pPr>
      <w:r>
        <w:t xml:space="preserve">For portfolio or network planning: because facility size predicts staffing intensity inconsistently across ownership types (BQ4), a single sizing rule for adding or right-sizing labor hours should not be applied network-wide without first segmenting by ownership.</w:t>
      </w:r>
    </w:p>
    <w:p>
      <w:pPr>
        <w:spacing w:before="240"/>
      </w:pPr>
      <w:r>
        <w:rPr>
          <w:i/>
          <w:iCs/>
        </w:rPr>
        <w:t xml:space="preserve">Limitation: adjusted patient days are revenue-derived (total gross patient revenue / gross inpatient revenue × patient days), so differences in outpatient pricing and service mix may drive part of the observed PHAPD variation independent of any staffing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2026-08-13T17:36:16.222Z</dcterms:created>
  <dcterms:modified xsi:type="dcterms:W3CDTF">2026-08-13T17:36:16.234Z</dcterms:modified>
</cp:coreProperties>
</file>

<file path=docProps/custom.xml><?xml version="1.0" encoding="utf-8"?>
<Properties xmlns="http://schemas.openxmlformats.org/officeDocument/2006/custom-properties" xmlns:vt="http://schemas.openxmlformats.org/officeDocument/2006/docPropsVTypes"/>
</file>