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在算法评估层面，本文通过统一的离线评估协议对比了协同过滤（ItemCF）、深度学习（NCF、LightGCN）和闭式解模型（EASE）在MovieLens 32M上的表现，实验发现传统方法在此大规模稀疏场景中仍具有竞争力——这一结果为深度推荐模型在稀疏数据上的适用性提供了实验参考。在系统工程层面，本文构建了覆盖数据导入→离线训练→在线服务→可视化分析的完整链路，所有模型产物和评估结果以JSON格式持久化，可复现全部实验数据。</w:t>
        <w:lastRenderedPageBreak/>
        <w:t>系统提供了推荐解释（"因为你喜欢X"）、12维用户画像和推荐反馈（like/dislike）等功能，可在Windows 11单机环境下完整运行，所有推荐策略和评估结果通过Dashboard可视化展示。</w:t>
      </w:r>
    </w:p>
    <w:p w14:paraId="2A34B8B7" w14:textId="77777777" w:rsidR="00BC6045" w:rsidRPr="00126EF0" w:rsidRDefault="00000000" w:rsidP="00126EF0">
      <w:pPr>
        <w:pStyle w:val="afff"/>
      </w:pPr>
      <w:r>
        <w:t/>
      </w:r>
    </w:p>
    <w:p w14:paraId="439F1E2B" w14:textId="77777777" w:rsidR="00BC6045" w:rsidRPr="00126EF0" w:rsidRDefault="00000000" w:rsidP="00126EF0">
      <w:pPr>
        <w:pStyle w:val="afff"/>
      </w:pPr>
      <w:r>
        <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w:t>
        <w:lastRenderedPageBreak/>
        <w:t>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ItemCF和NCF独立训练，召回的候选集规模可控，重排的推理成本不随全量物品增长。</w:t>
        <w:lastRenderedPageBreak/>
        <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用户认证基于Flask-Login扩展实现。注册接口（POST /api/auth/register）进行四重校验：用户名长度2-64字符、密码强度≥6位、用户名数据库UNIQUE约束、密码通过werkzeug.security.generate_password_hash()加盐哈希后存入users.password_hash字段。登录接口（POST /api/auth/login）验证凭据后由Flask-Login创建session，后续请求通过@login_required装饰器识别用户身份。/api/*路由未登录时返回401 JSON（非HTML重定向），确保Vue.js前端能正确拦截认证失败。</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电影数据通过import_fast.py脚本从MovieLens CSV文件解析入库，TMDB API补充海报、导演、演员等元数据后写入movies表。前端检索通过GET /api/movies?q=关键词&amp;limit=20调用，后端使用SQLAlchemy的ilike模糊匹配title字段。评分接口POST /api/ratings采用INSERT ON DUPLICATE KEY UPDATE策略——ratings表设置(user_id, movie_id)联合唯一约束，同一用户对同一电影重复评分时自动覆盖旧值。用户评分历史通过GET /api/my/ratings获取，按时间戳降序排列，作为ItemCF召回和用户画像计算的输入。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推荐接口GET /api/recommendations接受strategy、n、recall_k三个参数。strategy=itemcf时，从movie_similarity表读取用户已评分电影的相似邻居，按"相似度×用户评分"加权累加排序输出；strategy=ncf时，NCFEngine对候选电影逐一打分后排序；strategy=hybrid时，先由ItemCF召回recall_k个候选（默认100），再由NCF在候选集上重排取Top-N。</w:t>
      </w:r>
    </w:p>
    <w:p w14:paraId="516474E4" w14:textId="77777777" w:rsidR="00BC6045" w:rsidRDefault="00000000" w:rsidP="00126EF0">
      <w:pPr>
        <w:pStyle w:val="afff"/>
      </w:pPr>
      <w:r>
        <w:t>推荐结果附带because字段，展示每部推荐电影的相似来源及贡献权重。相似电影接口GET /api/movies/&lt;movie_id&gt;/similar?n=10直接查询movie_similarity表，按余弦相似度降序返回。如当前用户无评分记录（冷启动），三种策略均回退至Popular热门推荐作为兜底。</w:t>
      </w:r>
    </w:p>
    <w:p w14:paraId="15E53E06" w14:textId="77777777" w:rsidR="00BC6045" w:rsidRDefault="00000000" w:rsidP="00126EF0">
      <w:pPr>
        <w:pStyle w:val="afff"/>
      </w:pPr>
      <w:r>
        <w:lastRenderedPageBreak/>
        <w:t/>
      </w:r>
    </w:p>
    <w:p w14:paraId="168934F0" w14:textId="77777777" w:rsidR="00BC6045" w:rsidRDefault="00000000" w:rsidP="00126EF0">
      <w:pPr>
        <w:pStyle w:val="afff"/>
      </w:pPr>
      <w:r>
        <w:t/>
      </w:r>
    </w:p>
    <w:p w14:paraId="28C09CFA" w14:textId="77777777" w:rsidR="00BC6045" w:rsidRDefault="00000000" w:rsidP="00126EF0">
      <w:pPr>
        <w:pStyle w:val="afff"/>
      </w:pPr>
      <w:r>
        <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数据统计通过6个Dashboard API端点提供：评分分布(/api/stats/ratings)、类型占比(/api/stats/genres)、年份趋势(/api/stats/years)、热门电影(/api/stats/popular)、用户活跃度(/api/stats/user_activity)和评分次数分桶(/api/stats/movie_rating_counts)。前端enhanced_dashboard.html使用ECharts 5.4渲染上述数据为柱状图、南丁格尔玫瑰图和旭日图。用户画像由ProfileService.compute_user_profile()根据评分和收藏历史计算12维偏好特征，通过/api/my/persona接口返回类型偏好、年代偏好等数据，前端user_profile.html以雷达图和评分时间线展示。</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推荐反馈通过POST /api/feedback接口提交，入参为movie_id、feedback（like/dislike）和context（场景标识，限64字符，如"recommendations"/"movie_detail"/"similar"）。反馈数据写入recommendation_feedback表，采用(user_id, movie_id, context)联合唯一约束——同一用户在同一场景下对同一电影再次提交反馈时，UPDATE旧记录并刷新created_at时间戳。反馈数据存储在推荐结果展示和电影详情页可被查询，作为用户偏好信号的补充。</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在开发环境（Intel i5-11400H/16GB RAM/Windows 11）下的实测指标：ItemCF推荐接口P50响应时间约52ms（召回+排序），NCF推理约200ms（100候选集批量打分），Hybrid约250ms（含ItemCF召回+NCF重排）。电影检索和评分提交接口因查询简单，通常&lt;100ms返回。增强看板聚合查询涉及多表联查，约1-2s完成。离线训练：ItemCF相似度计算（基于32M评分，过滤后约13K电影）约5min；NCF训练在CPU模式下约20min/10 epoch（batch_size=4096），通过早停（patience=3）通常在6-8 epoch收敛；完整离线评估（8方法×10000用户）约19min。所有接口指标为单用户本地测试结果，未进行多用户并发压测。</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系统各组件通过明确接口解耦，可独立修改而不影响其他部分。后端路由按功能分属main Blueprint（~3100行）和admin Blueprint（~1100行），推荐策略各自实现为独立函数，新增策略只需在路由字典中注册即可通过strategy参数调用。前端Vue组件挂载在window.CinemaComponents命名空间下，页面JS文件按需解构引用（MovieCard、SkeletonGrid等5个共享组件）。数据</w:t>
        <w:lastRenderedPageBreak/>
        <w:t>库通过SQLAlchemy ORM与Alembic迁移管理，新增表或字段不影响现有业务。新增EASE和LightGCN对比模型时，仅需编写独立训练脚本并在评估框架中注册，未修改现有推荐接口代码。</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模型加载不因文件损坏或路径错误导致服务崩溃。</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系统围绕推荐管线组织为四个部分。数据管理基于MySQL+SQLAlchemy ORM，14个ORM模型映射为11张业务表（详见4.2节），通过Alembic管理schema迁移，ratings表设置(user_id, movie_id)联合唯一约束防止重复评分。离线训练与评估包含四个独立训练脚本（train_itemcf.py、train_ncf_v2.py、train_ease.py、train_lightgcn.py）和统一评估框架（run_evaluation.py），训练产物（.pt权重、.npy矩阵、_meta.json索引映射）写入backend/artifacts/目录供在线服务加载。在线推荐服务基于Flask应用工厂（create_app()），推荐接口按strategy参数路由到不同策略函数，NCFEngine以单例模式管理模型生命周期并支持异步加载和热重载。前端采用Jinja2渲染页面骨架、Vue.js 3 Options API管理动态交互，通过ChainableUndefined解决Jinja2与Vue的{{ }}冲突；Vue组件挂载在window.CinemaComponents命名空间下，页面JS文件按需解构引用。</w:t>
      </w:r>
    </w:p>
    <w:p w14:paraId="7297CA71" w14:textId="69ED78CD" w:rsidR="00BC6045" w:rsidRDefault="00000000" w:rsidP="00126EF0">
      <w:pPr>
        <w:pStyle w:val="afff"/>
      </w:pPr>
      <w:r>
        <w:t/>
      </w:r>
    </w:p>
    <w:p w14:paraId="443E5646" w14:textId="77777777" w:rsidR="00BC6045" w:rsidRDefault="00000000" w:rsidP="00126EF0">
      <w:pPr>
        <w:pStyle w:val="afff"/>
      </w:pPr>
      <w:r>
        <w:t/>
      </w:r>
      <w:r>
        <w:rPr>
          <w:rFonts w:hint="eastAsia"/>
          <w:vertAlign w:val="superscript"/>
        </w:rPr>
        <w:t>[19]</w:t>
      </w:r>
      <w:r>
        <w:t>。</w:t>
      </w:r>
    </w:p>
    <w:p w14:paraId="268093C6" w14:textId="77777777" w:rsidR="00BC6045" w:rsidRDefault="00000000" w:rsidP="00126EF0">
      <w:pPr>
        <w:pStyle w:val="afff"/>
      </w:pPr>
      <w:r>
        <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推荐类接口为核心（完整清单见附录B）。GET /api/recommendations通过strategy参数（itemcf/ncf/hybrid）切换策略，n控制返回条数（默认10），recall_k控制Hybrid召回候选数（默认100）。Hybrid后端流程为ItemCF召回→NCF重排。</w:t>
      </w:r>
    </w:p>
    <w:p w14:paraId="6A057327" w14:textId="77777777" w:rsidR="00BC6045" w:rsidRDefault="00000000" w:rsidP="00126EF0">
      <w:pPr>
        <w:pStyle w:val="afff"/>
      </w:pPr>
      <w:r>
        <w:t/>
      </w:r>
    </w:p>
    <w:p w14:paraId="6E1F9075" w14:textId="77777777" w:rsidR="00BC6045" w:rsidRDefault="00000000" w:rsidP="00126EF0">
      <w:pPr>
        <w:pStyle w:val="afff"/>
      </w:pPr>
      <w:r>
        <w:t/>
      </w:r>
    </w:p>
    <w:p w14:paraId="4BF5CAEB" w14:textId="77777777" w:rsidR="00BC6045" w:rsidRDefault="00000000" w:rsidP="00126EF0">
      <w:pPr>
        <w:pStyle w:val="afff"/>
      </w:pPr>
      <w:r>
        <w:t/>
      </w:r>
    </w:p>
    <w:p w14:paraId="2F76814C" w14:textId="77777777" w:rsidR="00BC6045" w:rsidRDefault="00000000" w:rsidP="00126EF0">
      <w:pPr>
        <w:pStyle w:val="afff"/>
      </w:pPr>
      <w:r>
        <w:t/>
      </w:r>
    </w:p>
    <w:p w14:paraId="704B17F9" w14:textId="77777777" w:rsidR="00BC6045" w:rsidRDefault="00000000" w:rsidP="00126EF0">
      <w:pPr>
        <w:pStyle w:val="afff"/>
      </w:pPr>
      <w:r>
        <w:t/>
      </w:r>
    </w:p>
    <w:p w14:paraId="0BE3A3B8" w14:textId="77777777" w:rsidR="00BC6045" w:rsidRDefault="00000000" w:rsidP="00126EF0">
      <w:pPr>
        <w:pStyle w:val="afff"/>
      </w:pPr>
      <w:r>
        <w:t/>
      </w:r>
    </w:p>
    <w:p w14:paraId="370C91DA" w14:textId="77777777" w:rsidR="00BC6045" w:rsidRDefault="00000000" w:rsidP="00126EF0">
      <w:pPr>
        <w:pStyle w:val="afff"/>
      </w:pPr>
      <w:r>
        <w:t/>
      </w:r>
    </w:p>
    <w:p w14:paraId="78442106" w14:textId="77777777" w:rsidR="00BC6045" w:rsidRDefault="00000000" w:rsidP="00126EF0">
      <w:pPr>
        <w:pStyle w:val="afff"/>
      </w:pPr>
      <w:r>
        <w:t/>
      </w:r>
    </w:p>
    <w:p w14:paraId="68B3D24C" w14:textId="77777777" w:rsidR="00BC6045" w:rsidRDefault="00000000" w:rsidP="00126EF0">
      <w:pPr>
        <w:pStyle w:val="afff"/>
      </w:pPr>
      <w:r>
        <w:t/>
      </w:r>
    </w:p>
    <w:p w14:paraId="559795D5" w14:textId="77777777" w:rsidR="00BC6045" w:rsidRDefault="00000000" w:rsidP="00126EF0">
      <w:pPr>
        <w:pStyle w:val="afff"/>
      </w:pPr>
      <w:r>
        <w:t/>
      </w:r>
    </w:p>
    <w:p w14:paraId="335BFF9F" w14:textId="77777777" w:rsidR="00BC6045" w:rsidRDefault="00000000" w:rsidP="00126EF0">
      <w:pPr>
        <w:pStyle w:val="afff"/>
      </w:pPr>
      <w:r>
        <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
      </w:r>
    </w:p>
    <w:p w14:paraId="610AAF6E" w14:textId="77777777" w:rsidR="00BC6045" w:rsidRDefault="00000000" w:rsidP="00126EF0">
      <w:pPr>
        <w:pStyle w:val="afff"/>
      </w:pPr>
      <w:r>
        <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本文NCF训练使用batch_size=4096，每个训练步骤处理4096个正样本及对应的16384个负样本（neg_ratio=4），单步约20K样本。验证推理使用eval_forward_chunk=262144将(user,item)对分块前向，减少Python循环和框架调度开销。</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实验结果表明，传统协同过滤方法在MovieLens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本文基于MovieLens 32M数据集和Flask+Vue.js技术栈，实现了一个支持多策略切换的电影推荐系统CineMatch，覆盖数据导入、离线训练、在线推荐和可视化分析四个环节。</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功能：注册登录（含密保重置密码）、电影检索与高级搜索（按类型/年份/评分过滤）、推荐策略切换（ItemCF/NCF/Hybrid/Popular四种）、评分与收藏管理（0.5-5.0星评分，三种收藏类型）、用户画像（12维特征雷达图+评分时间线）、数据看板（ECharts图表，30秒自动刷新）。</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管理员功能：电影管理（手动添加/TMDB ID自动填充元数据）、用户管理（搜索/权限切换/启禁用）、评论审核（通过/拒绝/精选标记）、评分审核、观看链接审核、数据导出（JSON/CSV/完整备份）。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感谢指导教师曹家宝老师在选题、实验设计和论文修改中的指导，特别是在评估协议设计和结果分析方面提出的具体建议。</w:t>
      </w:r>
    </w:p>
    <w:p w14:paraId="79CE7DD4" w14:textId="77777777" w:rsidR="00BC6045" w:rsidRPr="007E0330" w:rsidRDefault="00000000" w:rsidP="007E0330">
      <w:pPr>
        <w:pStyle w:val="afff"/>
      </w:pPr>
      <w:r>
        <w:t>感谢同学们在系统测试和论文校对中给予的帮助。感谢家人的支持。</w:t>
      </w:r>
    </w:p>
    <w:p w14:paraId="01BE2681" w14:textId="77777777" w:rsidR="00BC6045" w:rsidRPr="007E0330" w:rsidRDefault="00000000" w:rsidP="007E0330">
      <w:pPr>
        <w:pStyle w:val="afff"/>
      </w:pPr>
      <w:r>
        <w:t/>
      </w:r>
    </w:p>
    <w:p w14:paraId="76D7D955" w14:textId="77777777" w:rsidR="00BC6045" w:rsidRPr="007E0330" w:rsidRDefault="00000000" w:rsidP="007E0330">
      <w:pPr>
        <w:pStyle w:val="afff"/>
      </w:pPr>
      <w:r>
        <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