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Embedding和MLP结构提供了更强的非线性拟合能力，但逐物品打分的高计算成本使其不适合直接在全量候选集上使用。本文采用两阶段策略：轻量的ItemCF从全量物品中召回候选集，表达能力更强的NCF在候选集上重排——兼顾计算效率与排序精度。</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形成"召回-重排"的混合推荐方案，并通过离线指标体系（Precision@K、Recall@K、MAP@K、NDCG@K等）对效果进行评价，通过统一的离线评估协议对比多种推荐算法范式在MovieLens 32M数据集上的表现差异，为协同过滤与深度学习推荐方法在大规模稀疏场景下的适用性提供了实验依据。</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本文选择ItemCF作为召回模型基于以下考虑。第一，ItemCF的推荐结果可追溯——每部推荐电影的得分来自用户历史评分中相似电影的加权贡献，这为推荐解释（"因为你喜欢X"）提供了直接支撑。第二，通过TopK近邻截断（K=50），相似度矩阵的存储开销从O(N²)降至O(NK)，适合数万部电影的规模。第三，调整余弦相似度（用户均值归一化）能够缓解不同用户评分尺度差异对相似度估计的影响。上述特性使得ItemCF在保持较低工程复杂度的同时，能够提供有解释的候选集召回。</w:t>
      </w:r>
    </w:p>
    <w:p w14:paraId="706D5EE7" w14:textId="77777777" w:rsidR="00BC6045" w:rsidRDefault="00000000" w:rsidP="00126EF0">
      <w:pPr>
        <w:pStyle w:val="afff"/>
      </w:pPr>
      <w:r>
        <w:t>工程实现中，相似度计算采用余弦相似度[1]，并对评分进行用户均值归一化（减去用户历史评分均值）以消除评分尺度偏差。完整的物品-物品相似矩阵存储开销为O(N²)，本文采用TopK截断（K=50）仅保留每部电影最相似的50个邻居，存储复杂度降为O(NK)。在线召回阶段通过批量IN查询替代逐电影查询，进一步降低数据库访问开销。ItemCF的局限在于其线性相似度无法建模物品间的非线性关系，正是引入NCF作为重排模型的原因——利用MLP的非线性变换弥补ItemCF在排序精度上的不足。</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本文选择NCF（MLP架构）作为重排模型。NCF将用户和物品映射为稠密Embedding向量，拼接后通过多层感知机（MLP）进行非线性变换，输出用户对物品的偏好概率[2]。相较于ItemCF的线性相似度，NCF的MLP结构能够学习更复杂的用户-物品交互模式。</w:t>
      </w:r>
    </w:p>
    <w:p w14:paraId="35399E4A" w14:textId="77777777" w:rsidR="00BC6045" w:rsidRPr="00126EF0" w:rsidRDefault="00000000" w:rsidP="00126EF0">
      <w:pPr>
        <w:pStyle w:val="afff"/>
      </w:pPr>
      <w:r>
        <w:t>在本文中，NCF的训练采用二元交叉熵损失（BCE）配合负采样（正负比1:4），将评分数据转换为隐式反馈二分类任务。模型规模控制在64维Embedding + 256维隐藏层，在CPU环境下可完成训练和推理。为避免NCF在全量候选集上逐物品打分的计算开销，本文将其限定在ItemCF召回的小规模候选集上进行重排，而非在全量物品集合上直接使用。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将ItemCF和NCF级联为"召回-重排"管道的设计动机是：ItemCF计算开销低但排序精度有限，NCF排序能力更强但全量推理成本高。级联后，ItemCF将候选空间从13K+部电影缩小至数百部，NCF在此小规模候选集上逐电影打分重排，兼顾了召回效率与排序精度。这种级联架构在工业推荐系统中常见（如YouTube推荐[19]），本文在MovieLens 32M数据集上对其效果进行实验评估。</w:t>
      </w:r>
    </w:p>
    <w:p w14:paraId="72F7DE74" w14:textId="77777777" w:rsidR="00BC6045" w:rsidRPr="00126EF0" w:rsidRDefault="00000000" w:rsidP="00126EF0">
      <w:pPr>
        <w:pStyle w:val="afff"/>
      </w:pPr>
      <w:r>
        <w:t>本文的Hybrid策略采用级联融合：ItemCF作为第一阶段，NCF作为第二阶段。系统还保留了ItemCF和NCF各自的独立推荐模式，通过推荐接口的strategy参数切换（itemcf/ncf/hybrid），便于对比不同策略的效果。对于ItemCF和Hybrid的推荐结果，系统输出"因为你喜欢X"形式的推荐理由，展示每部推荐电影</w:t>
        <w:lastRenderedPageBreak/>
        <w:t>的相似来源电影及其贡献权重。</w:t>
      </w:r>
    </w:p>
    <w:p w14:paraId="2A1E0892" w14:textId="77777777" w:rsidR="00BC6045" w:rsidRPr="00126EF0" w:rsidRDefault="00000000" w:rsidP="00126EF0">
      <w:pPr>
        <w:pStyle w:val="afff"/>
      </w:pPr>
      <w:r>
        <w:t>本文在第6章通过离线评估协议对上述策略进行系统对比，使用Precision@K、Recall@K、NDCG@K、MRR@K等排序指标以及Coverage、ILS、Novelty等多样性与覆盖指标，评估各策略在MovieLens 32M数据集上的实际效果。</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（2）实现ItemCF召回模型。完成物品相似度计算与TopK近邻存储，在线阶段从相似度矩阵中生成候选推荐列表，并为每部推荐电影输出贡献来源信息。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（5）建立离线评估与消融实验流程。使用Precision@K、Recall@K、MAP@K、NDCG@K等指标对不同模型进行全量排序对比，并结合覆盖率与流行度偏置维度分析推荐结果的多样性与偏置。</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MovieLens数据集由明尼苏达大学GroupLens研究团队整理发布[4]，是推荐系统研究中被广泛使用的公开基准数据集。本文采用MovieLens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用户认证基于Flask-Login扩展实现。注册接口（POST /api/auth/register）进行四重校验：用户名长度2-64字符、密码强度≥6位、用户名数据库UNIQUE约束、密码通过werkzeug.security.generate_password_hash()加盐哈希后存入users.password_hash字段。登录接口（POST /api/auth/login）验证凭据后由Flask-Login创建session，后续请求通过@login_required装饰器识别用户身份。/api/*路由未登录时返回401 JSON（非HTML重定向），确保Vue.js前端能正确拦截认证失败。</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电影数据通过import_fast.py脚本从MovieLens CSV文件解析入库，TMDB API补充海报、导演、演员等元数据后写入movies表。前端检索通过GET /api/movies?q=关键词&amp;limit=20调用，后端使用SQLAlchemy的ilike模糊匹配title字段。评分接口POST /api/ratings采用INSERT ON DUPLICATE KEY UPDATE策略——ratings表设置(user_id, movie_id)联合唯一约束，同一用户对同一电影重复评分时自动覆盖旧值。用户评分历史通过GET /api/my/ratings获取，按时间戳降序排列，作为ItemCF召回和用户画像计算的输入。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推荐接口GET /api/recommendations接受strategy、n、recall_k三个参数。strategy=itemcf时，从movie_similarity表读取用户已评分电影的相似邻居，按"相似度×用户评分"加权累加排序输出；strategy=ncf时，NCFEngine对候选电影逐一打分后排序；strategy=hybrid时，先由ItemCF召回recall_k个候选（默认100），再由NCF在候选集上重排取Top-N。</w:t>
      </w:r>
    </w:p>
    <w:p w14:paraId="516474E4" w14:textId="77777777" w:rsidR="00BC6045" w:rsidRDefault="00000000" w:rsidP="00126EF0">
      <w:pPr>
        <w:pStyle w:val="afff"/>
      </w:pPr>
      <w:r>
        <w:t>推荐结果附带because字段，展示每部推荐电影的相似来源及贡献权重。相似电影接口GET /api/movies/&lt;movie_id&gt;/similar?n=10直接查询movie_similarity表，按余弦相似度降序返回。如当前用户无评分记录（冷启动），三种策略均回退至Popular热门推荐作为兜底。</w:t>
      </w:r>
    </w:p>
    <w:p w14:paraId="15E53E06" w14:textId="77777777" w:rsidR="00BC6045" w:rsidRDefault="00000000" w:rsidP="00126EF0">
      <w:pPr>
        <w:pStyle w:val="afff"/>
      </w:pPr>
      <w:r>
        <w:lastRenderedPageBreak/>
        <w:t/>
      </w:r>
    </w:p>
    <w:p w14:paraId="168934F0" w14:textId="77777777" w:rsidR="00BC6045" w:rsidRDefault="00000000" w:rsidP="00126EF0">
      <w:pPr>
        <w:pStyle w:val="afff"/>
      </w:pPr>
      <w:r>
        <w:t/>
      </w:r>
    </w:p>
    <w:p w14:paraId="28C09CFA" w14:textId="77777777" w:rsidR="00BC6045" w:rsidRDefault="00000000" w:rsidP="00126EF0">
      <w:pPr>
        <w:pStyle w:val="afff"/>
      </w:pPr>
      <w:r>
        <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数据统计通过6个Dashboard API端点提供：评分分布(/api/stats/ratings)、类型占比(/api/stats/genres)、年份趋势(/api/stats/years)、热门电影(/api/stats/popular)、用户活跃度(/api/stats/user_activity)和评分次数分桶(/api/stats/movie_rating_counts)。前端enhanced_dashboard.html使用ECharts 5.4渲染上述数据为柱状图、南丁格尔玫瑰图和旭日图。用户画像由ProfileService.compute_user_profile()根据评分和收藏历史计算12维偏好特征，通过/api/my/persona接口返回类型偏好、年代偏好等数据，前端user_profile.html以雷达图和评分时间线展示。</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推荐反馈通过POST /api/feedback接口提交，入参为movie_id、feedback（like/dislike）和context（场景标识，限64字符，如"recommendations"/"movie_detail"/"similar"）。反馈数据写入recommendation_feedback表，采用(user_id, movie_id, context)联合唯一约束——同一用户在同一场景下对同一电影再次提交反馈时，UPDATE旧记录并刷新created_at时间戳。反馈数据存储在推荐结果展示和电影详情页可被查询，作为用户偏好信号的补充。</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在开发环境（Intel i5-11400H/16GB RAM/Windows 11）下的实测指标：ItemCF推荐接口P50响应时间约52ms（召回+排序），NCF推理约200ms（100候选集批量打分），Hybrid约250ms（含ItemCF召回+NCF重排）。电影检索和评分提交接口因查询简单，通常&lt;100ms返回。增强看板聚合查询涉及多表联查，约1-2s完成。离线训练：ItemCF相似度计算（基于32M评分，过滤后约13K电影）约5min；NCF训练在CPU模式下约20min/10 epoch（batch_size=4096），通过早停（patience=3）通常在6-8 epoch收敛；完整离线评估（8方法×10000用户）约19min。所有接口指标为单用户本地测试结果，未进行多用户并发压测。</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系统各组件通过明确接口解耦，可独立修改而不影响其他部分。后端路由按功能分属main Blueprint（~3100行）和admin Blueprint（~1100行），推荐策略各自实现为独立函数，新增策略只需在路由字典中注册即可通过strategy参数调用。前端Vue组件挂载在window.CinemaComponents命名空间下，页面JS文件按需解构引用（MovieCard、SkeletonGrid等5个共享组件）。数据</w:t>
        <w:lastRenderedPageBreak/>
        <w:t>库通过SQLAlchemy ORM与Alembic迁移管理，新增表或字段不影响现有业务。新增EASE和LightGCN对比模型时，仅需编写独立训练脚本并在评估框架中注册，未修改现有推荐接口代码。</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模型加载不因文件损坏或路径错误导致服务崩溃。</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系统围绕推荐管线组织为四个部分。数据管理基于MySQL+SQLAlchemy ORM，14个ORM模型映射为11张业务表（详见4.2节），通过Alembic管理schema迁移，ratings表设置(user_id, movie_id)联合唯一约束防止重复评分。离线训练与评估包含四个独立训练脚本（train_itemcf.py、train_ncf_v2.py、train_ease.py、train_lightgcn.py）和统一评估框架（run_evaluation.py），训练产物（.pt权重、.npy矩阵、_meta.json索引映射）写入backend/artifacts/目录供在线服务加载。在线推荐服务基于Flask应用工厂（create_app()），推荐接口按strategy参数路由到不同策略函数，NCFEngine以单例模式管理模型生命周期并支持异步加载和热重载。前端采用Jinja2渲染页面骨架、Vue.js 3 Options API管理动态交互，通过ChainableUndefined解决Jinja2与Vue的{{ }}冲突；Vue组件挂载在window.CinemaComponents命名空间下，页面JS文件按需解构引用。</w:t>
      </w:r>
    </w:p>
    <w:p w14:paraId="7297CA71" w14:textId="69ED78CD" w:rsidR="00BC6045" w:rsidRDefault="00000000" w:rsidP="00126EF0">
      <w:pPr>
        <w:pStyle w:val="afff"/>
      </w:pPr>
      <w:r>
        <w:t/>
      </w:r>
    </w:p>
    <w:p w14:paraId="443E5646" w14:textId="77777777" w:rsidR="00BC6045" w:rsidRDefault="00000000" w:rsidP="00126EF0">
      <w:pPr>
        <w:pStyle w:val="afff"/>
      </w:pPr>
      <w:r>
        <w:t/>
      </w:r>
      <w:r>
        <w:rPr>
          <w:rFonts w:hint="eastAsia"/>
          <w:vertAlign w:val="superscript"/>
        </w:rPr>
        <w:t>[19]</w:t>
      </w:r>
      <w:r>
        <w:t>。</w:t>
      </w:r>
    </w:p>
    <w:p w14:paraId="268093C6" w14:textId="77777777" w:rsidR="00BC6045" w:rsidRDefault="00000000" w:rsidP="00126EF0">
      <w:pPr>
        <w:pStyle w:val="afff"/>
      </w:pPr>
      <w:r>
        <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推荐类接口为核心（完整清单见附录B）。GET /api/recommendations通过strategy参数（itemcf/ncf/hybrid）切换策略，n控制返回条数（默认10），recall_k控制Hybrid召回候选数（默认100）。Hybrid后端流程为ItemCF召回→NCF重排。</w:t>
      </w:r>
    </w:p>
    <w:p w14:paraId="6A057327" w14:textId="77777777" w:rsidR="00BC6045" w:rsidRDefault="00000000" w:rsidP="00126EF0">
      <w:pPr>
        <w:pStyle w:val="afff"/>
      </w:pPr>
      <w:r>
        <w:t/>
      </w:r>
    </w:p>
    <w:p w14:paraId="6E1F9075" w14:textId="77777777" w:rsidR="00BC6045" w:rsidRDefault="00000000" w:rsidP="00126EF0">
      <w:pPr>
        <w:pStyle w:val="afff"/>
      </w:pPr>
      <w:r>
        <w:t/>
      </w:r>
    </w:p>
    <w:p w14:paraId="4BF5CAEB" w14:textId="77777777" w:rsidR="00BC6045" w:rsidRDefault="00000000" w:rsidP="00126EF0">
      <w:pPr>
        <w:pStyle w:val="afff"/>
      </w:pPr>
      <w:r>
        <w:t/>
      </w:r>
    </w:p>
    <w:p w14:paraId="2F76814C" w14:textId="77777777" w:rsidR="00BC6045" w:rsidRDefault="00000000" w:rsidP="00126EF0">
      <w:pPr>
        <w:pStyle w:val="afff"/>
      </w:pPr>
      <w:r>
        <w:t/>
      </w:r>
    </w:p>
    <w:p w14:paraId="704B17F9" w14:textId="77777777" w:rsidR="00BC6045" w:rsidRDefault="00000000" w:rsidP="00126EF0">
      <w:pPr>
        <w:pStyle w:val="afff"/>
      </w:pPr>
      <w:r>
        <w:t/>
      </w:r>
    </w:p>
    <w:p w14:paraId="0BE3A3B8" w14:textId="77777777" w:rsidR="00BC6045" w:rsidRDefault="00000000" w:rsidP="00126EF0">
      <w:pPr>
        <w:pStyle w:val="afff"/>
      </w:pPr>
      <w:r>
        <w:t/>
      </w:r>
    </w:p>
    <w:p w14:paraId="370C91DA" w14:textId="77777777" w:rsidR="00BC6045" w:rsidRDefault="00000000" w:rsidP="00126EF0">
      <w:pPr>
        <w:pStyle w:val="afff"/>
      </w:pPr>
      <w:r>
        <w:t/>
      </w:r>
    </w:p>
    <w:p w14:paraId="78442106" w14:textId="77777777" w:rsidR="00BC6045" w:rsidRDefault="00000000" w:rsidP="00126EF0">
      <w:pPr>
        <w:pStyle w:val="afff"/>
      </w:pPr>
      <w:r>
        <w:t/>
      </w:r>
    </w:p>
    <w:p w14:paraId="68B3D24C" w14:textId="77777777" w:rsidR="00BC6045" w:rsidRDefault="00000000" w:rsidP="00126EF0">
      <w:pPr>
        <w:pStyle w:val="afff"/>
      </w:pPr>
      <w:r>
        <w:t/>
      </w:r>
    </w:p>
    <w:p w14:paraId="559795D5" w14:textId="77777777" w:rsidR="00BC6045" w:rsidRDefault="00000000" w:rsidP="00126EF0">
      <w:pPr>
        <w:pStyle w:val="afff"/>
      </w:pPr>
      <w:r>
        <w:t/>
      </w:r>
    </w:p>
    <w:p w14:paraId="335BFF9F" w14:textId="77777777" w:rsidR="00BC6045" w:rsidRDefault="00000000" w:rsidP="00126EF0">
      <w:pPr>
        <w:pStyle w:val="afff"/>
      </w:pPr>
      <w:r>
        <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
      </w:r>
    </w:p>
    <w:p w14:paraId="610AAF6E" w14:textId="77777777" w:rsidR="00BC6045" w:rsidRDefault="00000000" w:rsidP="00126EF0">
      <w:pPr>
        <w:pStyle w:val="afff"/>
      </w:pPr>
      <w:r>
        <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在NCF训练过程中，每个训练步骤需要动态采样负样本并构造(user, item, label)三元组，数据准备耗时在总训练时间中占比较高。本文从负采样批量化、碰撞检测优化和验证推理分块三个方面减少数据准备的CPU耗时。以下策略在CPU训练模式下直接减少数据准备开销，在GPU环境下（通过--device cuda启用）可额外利用页锁定内存和异步传输进一步加速。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