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ItemCF在排序精度上最优，EASE在覆盖率上领先（6.4x）；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是推荐系统领域的经典应用场景。Netflix、IMDb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（4）设计并实现"召回---重排"的混合推荐策略，引入EASE和LightGCN作为外部对比模型，使系统能够在四种模型（ItemCF、NCF、EASE、LightGCN）及Hybrid混合策略之间切换，兼顾推荐质量与计算成本；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（1）面向大规模数据的ItemCF TopK稀疏存储与用户均值归一化实现。针对物品规模较大时完整相似矩阵带来的存储与计算开销问题，本文在相似度计算与存储阶段采用TopK近邻截断策略，仅保留每个物品最相近的若干邻居及其相似度分数，从而降低存储占用；同时引入用户均值归一化消除评分尺度偏差，通过批量IN查询优化将N+1查询问题转化为单次查询，提升在线相似物品检索与召回效率。</w:t>
      </w:r>
    </w:p>
    <w:p w14:paraId="092BB95F" w14:textId="77777777" w:rsidR="00BC6045" w:rsidRPr="00126EF0" w:rsidRDefault="00000000" w:rsidP="00126EF0">
      <w:pPr>
        <w:pStyle w:val="afff"/>
      </w:pPr>
      <w:r>
        <w:t>（2）引入NCF作为候选集重排模型并构建完善的可训练流程。本文在召回阶段基础上引入神经协同过滤模型，使用Embedding表示用户与物品并通过MLP建模非线性交互关系；在训练阶段采用带碰撞检测的负采样机制，将显式评分数据转化为隐式反馈学习任务，并通过验证集的HR@K、NDCG@K等排序指标与早停机制对训练过程进行监控与模型选择；推理阶段通过NCFEngine单例与异步加载机制实现自动回退——模型不可用时依次回退至ItemCF策略，若ItemCF也不可用则返回热门推荐。</w:t>
      </w:r>
    </w:p>
    <w:p w14:paraId="6D7315B3" w14:textId="77777777" w:rsidR="00BC6045" w:rsidRPr="00126EF0" w:rsidRDefault="00000000" w:rsidP="00126EF0">
      <w:pPr>
        <w:pStyle w:val="afff"/>
      </w:pPr>
      <w:r>
        <w:t>（3）构建"召回-重排"混合推荐框架并实现策略化服务与可解释推荐。本文将ItemCF与NCF进行级联融合：ItemCF快速生成候选集合，NCF在候选集合上进行打分重排，形成两阶段推荐管线；同时系统支持ItemCF、NCF与Hybrid等推荐策略切换，通过推荐理由生成机制向用户展示"因为你喜欢X"的推荐来源信息，增强系统透明度与用户信任。</w:t>
      </w:r>
    </w:p>
    <w:p w14:paraId="731469F6" w14:textId="77777777" w:rsidR="00BC6045" w:rsidRPr="00126EF0" w:rsidRDefault="00000000" w:rsidP="00126EF0">
      <w:pPr>
        <w:pStyle w:val="afff"/>
      </w:pPr>
      <w:r>
        <w:t>（4）建立多指标离线评估与消融实验机制，并与可视化展示联动。本文构建离线评估脚本，对不同推荐模型在Precision@K、Recall@K、MAP@K、NDCG@K、MRR@K五项排序精度指标上进行对比，并进一步结合ILS@K、Genre Diversity、Novelty、Serendipity等多样性指标以及Coverage、Tail Coverage等全局覆盖指标，分析推荐结果的准确率、多样性与偏置；设计消融实验对Hybrid策略的recall_k和ItemCF的per_seed_limit等关键参数进行影响分析，实验结果通过可视化Dashboard展示，提高实验结论的可信度与直观性。</w:t>
      </w:r>
    </w:p>
    <w:p w14:paraId="7131FEF8" w14:textId="77777777" w:rsidR="00BC6045" w:rsidRPr="00126EF0" w:rsidRDefault="00000000" w:rsidP="00126EF0">
      <w:pPr>
        <w:pStyle w:val="afff"/>
      </w:pPr>
      <w:r>
        <w:t>（5）面向用户侧交互的推荐系统功能完善与反馈闭环。除推荐核心算法外，本文实现了用户认证与权限管理、电影检索与评分、推荐结果展示与策略切换、用户画像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本文在统一协议下对以下八种模型进行离线对比（含两个统计基线Random/Popularity、一个理论上界Oracle、以及ItemCF/NCF/Hybrid/EASE/LightGCN五种推荐模型，Oracle不参与排名）：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显著改善了长尾物品的曝光机会。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NCF和LightGCN两种深度模型在本次评估中均未超越传统方法。这一结果与部分文献中深度学习模型在小规模数据集上优势更大的结论有所不同，可能与以下因素有关：一是MovieLens 32M的评分密度较低（约0.14%），深度模型对稀疏交互的泛化能</w:t>
        <w:lastRenderedPageBreak/>
        <w:t>力受到限制；二是评估采用全量排序协议（C_all=13K），增大了Top-K推荐的难度；三是训练过程中GPU未启用，NCF和LightGCN的超参数调优可能不够充分。尽管如此，Hybrid级联架构以ItemCF为召回阶段、NCF为重排阶段的方案仍取得了3.9%的相对提升，验证了召回-重排管道在工程实践中的有效性。</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Warm用户(481人) NDCG@10</w:t>
            </w:r>
          </w:p>
        </w:tc>
        <w:tc>
          <w:tcPr>
            <w:tcW w:w="2340" w:type="dxa"/>
          </w:tcPr>
          <w:p w14:paraId="58A8C4C7" w14:textId="77777777" w:rsidR="00B04B27" w:rsidRPr="009749AF" w:rsidRDefault="00000000">
            <w:pPr>
              <w:rPr>
                <w:szCs w:val="21"/>
              </w:rPr>
            </w:pPr>
            <w:r>
              <w:rPr>
                <w:rFonts w:ascii="SimSun" w:hAnsi="SimSun"/>
                <w:b/>
                <w:szCs w:val="21"/>
              </w:rPr>
              <w:t>Hot用户(9519人)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0.08663</w:t>
            </w:r>
          </w:p>
        </w:tc>
        <w:tc>
          <w:tcPr>
            <w:tcW w:w="2340" w:type="dxa"/>
          </w:tcPr>
          <w:p w14:paraId="347186CA" w14:textId="77777777" w:rsidR="00B04B27" w:rsidRPr="009749AF" w:rsidRDefault="00000000">
            <w:pPr>
              <w:jc w:val="center"/>
              <w:rPr>
                <w:szCs w:val="21"/>
              </w:rPr>
            </w:pPr>
            <w:r>
              <w:rPr>
                <w:rFonts w:ascii="SimSun" w:hAnsi="SimSun"/>
                <w:szCs w:val="21"/>
              </w:rPr>
              <w:t>0.05294</w:t>
            </w:r>
          </w:p>
        </w:tc>
        <w:tc>
          <w:tcPr>
            <w:tcW w:w="2340" w:type="dxa"/>
          </w:tcPr>
          <w:p w14:paraId="024CBDDE" w14:textId="77777777" w:rsidR="00B04B27" w:rsidRPr="009749AF" w:rsidRDefault="00000000">
            <w:pPr>
              <w:jc w:val="center"/>
              <w:rPr>
                <w:szCs w:val="21"/>
              </w:rPr>
            </w:pPr>
            <w:r>
              <w:rPr>
                <w:rFonts w:ascii="SimSun" w:hAnsi="SimSun"/>
                <w:szCs w:val="21"/>
              </w:rPr>
              <w:t>1.64</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0.08507</w:t>
            </w:r>
          </w:p>
        </w:tc>
        <w:tc>
          <w:tcPr>
            <w:tcW w:w="2340" w:type="dxa"/>
          </w:tcPr>
          <w:p w14:paraId="37DFCAE3" w14:textId="77777777" w:rsidR="00B04B27" w:rsidRPr="009749AF" w:rsidRDefault="00000000">
            <w:pPr>
              <w:jc w:val="center"/>
              <w:rPr>
                <w:szCs w:val="21"/>
              </w:rPr>
            </w:pPr>
            <w:r>
              <w:rPr>
                <w:rFonts w:ascii="SimSun" w:hAnsi="SimSun"/>
                <w:szCs w:val="21"/>
              </w:rPr>
              <w:t>0.04567</w:t>
            </w:r>
          </w:p>
        </w:tc>
        <w:tc>
          <w:tcPr>
            <w:tcW w:w="2340" w:type="dxa"/>
          </w:tcPr>
          <w:p w14:paraId="1F773764" w14:textId="77777777" w:rsidR="00B04B27" w:rsidRPr="009749AF" w:rsidRDefault="00000000">
            <w:pPr>
              <w:jc w:val="center"/>
              <w:rPr>
                <w:szCs w:val="21"/>
              </w:rPr>
            </w:pPr>
            <w:r>
              <w:rPr>
                <w:rFonts w:ascii="SimSun" w:hAnsi="SimSun"/>
                <w:szCs w:val="21"/>
              </w:rPr>
              <w:t>1.86</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0.05275</w:t>
            </w:r>
          </w:p>
        </w:tc>
        <w:tc>
          <w:tcPr>
            <w:tcW w:w="2340" w:type="dxa"/>
          </w:tcPr>
          <w:p w14:paraId="378B1378" w14:textId="77777777" w:rsidR="00B04B27" w:rsidRPr="009749AF" w:rsidRDefault="00000000">
            <w:pPr>
              <w:jc w:val="center"/>
              <w:rPr>
                <w:szCs w:val="21"/>
              </w:rPr>
            </w:pPr>
            <w:r>
              <w:rPr>
                <w:rFonts w:ascii="SimSun" w:hAnsi="SimSun"/>
                <w:szCs w:val="21"/>
              </w:rPr>
              <w:t>0.02786</w:t>
            </w:r>
          </w:p>
        </w:tc>
        <w:tc>
          <w:tcPr>
            <w:tcW w:w="2340" w:type="dxa"/>
          </w:tcPr>
          <w:p w14:paraId="6D76AB59" w14:textId="77777777" w:rsidR="00B04B27" w:rsidRPr="009749AF" w:rsidRDefault="00000000">
            <w:pPr>
              <w:jc w:val="center"/>
              <w:rPr>
                <w:szCs w:val="21"/>
              </w:rPr>
            </w:pPr>
            <w:r>
              <w:rPr>
                <w:rFonts w:ascii="SimSun" w:hAnsi="SimSun"/>
                <w:szCs w:val="21"/>
              </w:rPr>
              <w:t>1.89</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与EASE的差距最小（NDCG@10仅差0.00156），说明基于物品相似度的召回策略对中等活跃用户的有效性。LightGCN在两组用户上均表现最弱，其NDCG@10绝对值较低但在Warm/Hot比值上差异最大（1.89倍），提示图卷积模型对用户活跃度更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显著改善了长尾物品的曝光。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ItemCF在排序精度上表现最优（R@10=0.0772，NDCG@10=0.0490），传统协同过滤方法在该数据集上超越了深度模型；EASE以闭式解实现了精度与覆盖的最佳平衡，Coverage达0.658，为ItemCF的6.4倍；Hybrid级联架构相较纯NCF在R@10上提升了3.9%，验证了召回-重排管道的有效性；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工程实现方面，系统采用模块化架构，将数据导入、模型训练、离线评估和在线服务解耦为独立组件，支持灵活的策略配置与模型扩展。系统已在Windows 11环境下完整部署运行，NCF模型通过异步加载与单例模式管理内存，推荐接口的平均响应时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）从离线评估走向在线验证。系统已具备推荐反馈采集和行为追踪能力，在此基础上搭建在线指标监控（如点赞率、点击率），将离线结论与实际用户行为对照，是提高模型实用性的关键一步。</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加速、推理分块）已为后续迭代打下了较好的工程基础。</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