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Simple</w:t>
      </w:r>
      <w:r>
        <w:t xml:space="preserve"> </w:t>
      </w:r>
      <w:r>
        <w:t xml:space="preserve">Shell</w:t>
      </w:r>
      <w:r>
        <w:t xml:space="preserve"> </w:t>
      </w:r>
      <w:r>
        <w:t xml:space="preserve">(Command</w:t>
      </w:r>
      <w:r>
        <w:t xml:space="preserve"> </w:t>
      </w:r>
      <w:r>
        <w:t xml:space="preserve">Line</w:t>
      </w:r>
      <w:r>
        <w:t xml:space="preserve"> </w:t>
      </w:r>
      <w:r>
        <w:t xml:space="preserve">Interpreter)</w:t>
      </w:r>
    </w:p>
    <w:p>
      <w:pPr>
        <w:pStyle w:val="Subtitle"/>
      </w:pPr>
      <w:r>
        <w:t xml:space="preserve">Software</w:t>
      </w:r>
      <w:r>
        <w:t xml:space="preserve"> </w:t>
      </w:r>
      <w:r>
        <w:t xml:space="preserve">Engineering</w:t>
      </w:r>
      <w:r>
        <w:t xml:space="preserve"> </w:t>
      </w:r>
      <w:r>
        <w:t xml:space="preserve">Project</w:t>
      </w:r>
      <w:r>
        <w:t xml:space="preserve"> </w:t>
      </w:r>
      <w:r>
        <w:t xml:space="preserve">15</w:t>
      </w:r>
      <w:r>
        <w:t xml:space="preserve"> </w:t>
      </w:r>
      <w:r>
        <w:t xml:space="preserve">-</w:t>
      </w:r>
      <w:r>
        <w:t xml:space="preserve"> </w:t>
      </w:r>
      <w:r>
        <w:t xml:space="preserve">Final</w:t>
      </w:r>
      <w:r>
        <w:t xml:space="preserve"> </w:t>
      </w:r>
      <w:r>
        <w:t xml:space="preserve">Report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abstract"/>
    <w:p>
      <w:pPr>
        <w:pStyle w:val="Heading1"/>
      </w:pPr>
      <w:r>
        <w:t xml:space="preserve">Abstract</w:t>
      </w:r>
    </w:p>
    <w:p>
      <w:pPr>
        <w:pStyle w:val="FirstParagraph"/>
      </w:pPr>
      <w:r>
        <w:t xml:space="preserve">This report describes the requirements, design, implementation and verification of</w:t>
      </w:r>
      <w:r>
        <w:t xml:space="preserve"> </w:t>
      </w:r>
      <w:r>
        <w:rPr>
          <w:iCs/>
          <w:i/>
        </w:rPr>
        <w:t xml:space="preserve">mysh</w:t>
      </w:r>
      <w:r>
        <w:t xml:space="preserve">, a simple Unix-like command-line shell written in C. The shell reads commands interactively or from files, executes external programs using</w:t>
      </w:r>
      <w:r>
        <w:t xml:space="preserve"> </w:t>
      </w:r>
      <w:r>
        <w:rPr>
          <w:rStyle w:val="VerbatimChar"/>
        </w:rPr>
        <w:t xml:space="preserve">fork()</w:t>
      </w:r>
      <w:r>
        <w:t xml:space="preserve"> </w:t>
      </w:r>
      <w:r>
        <w:t xml:space="preserve">and</w:t>
      </w:r>
      <w:r>
        <w:t xml:space="preserve"> </w:t>
      </w:r>
      <w:r>
        <w:rPr>
          <w:rStyle w:val="VerbatimChar"/>
        </w:rPr>
        <w:t xml:space="preserve">execvp()</w:t>
      </w:r>
      <w:r>
        <w:t xml:space="preserve">, provides built-in commands (cd, pwd, exit, help, export, unset, env), supports environment variables, quoting, input/output redirection, pipelines, command sequencing, background execution and Ctrl+C handling. The work follows a software-engineering process: a Software Requirements Specification with 22 functional and 9 non-functional requirements, a modular architecture, a requirement traceability matrix and a layered test strategy. 130 tests were designed and executed on Ubuntu 24.04; 130 passed and 0 failed.</w:t>
      </w:r>
    </w:p>
    <w:bookmarkEnd w:id="20"/>
    <w:bookmarkStart w:id="21" w:name="introduction"/>
    <w:p>
      <w:pPr>
        <w:pStyle w:val="Heading1"/>
      </w:pPr>
      <w:r>
        <w:t xml:space="preserve">1. Introduction</w:t>
      </w:r>
    </w:p>
    <w:p>
      <w:pPr>
        <w:pStyle w:val="FirstParagraph"/>
      </w:pPr>
      <w:r>
        <w:t xml:space="preserve">The shell is the classic interface to a Unix-like operating system. Building one exposes the central operating-system mechanisms: creating processes, loading programs, wiring file descriptors, waiting for children and handling signals. This project builds a small but complete shell and treats it as a software-engineering exercise: requirements first, then design, implementation, tests and traceability.</w:t>
      </w:r>
    </w:p>
    <w:bookmarkEnd w:id="21"/>
    <w:bookmarkStart w:id="22" w:name="problem-statement"/>
    <w:p>
      <w:pPr>
        <w:pStyle w:val="Heading1"/>
      </w:pPr>
      <w:r>
        <w:t xml:space="preserve">2. Problem statement</w:t>
      </w:r>
    </w:p>
    <w:p>
      <w:pPr>
        <w:pStyle w:val="FirstParagraph"/>
      </w:pPr>
      <w:r>
        <w:t xml:space="preserve">“</w:t>
      </w:r>
      <w:r>
        <w:t xml:space="preserve">A simple Unix-like shell to execute commands from the command line.</w:t>
      </w:r>
      <w:r>
        <w:t xml:space="preserve">”</w:t>
      </w:r>
      <w:r>
        <w:t xml:space="preserve"> </w:t>
      </w:r>
      <w:r>
        <w:t xml:space="preserve">Implementation language: C.</w:t>
      </w:r>
    </w:p>
    <w:bookmarkEnd w:id="22"/>
    <w:bookmarkStart w:id="23" w:name="objectives"/>
    <w:p>
      <w:pPr>
        <w:pStyle w:val="Heading1"/>
      </w:pPr>
      <w:r>
        <w:t xml:space="preserve">3. Objectives</w:t>
      </w:r>
    </w:p>
    <w:p>
      <w:pPr>
        <w:numPr>
          <w:ilvl w:val="0"/>
          <w:numId w:val="1001"/>
        </w:numPr>
        <w:pStyle w:val="Compact"/>
      </w:pPr>
      <w:r>
        <w:t xml:space="preserve">Implement a working command-line interpreter that runs commands typed by a user.</w:t>
      </w:r>
    </w:p>
    <w:p>
      <w:pPr>
        <w:numPr>
          <w:ilvl w:val="0"/>
          <w:numId w:val="1001"/>
        </w:numPr>
        <w:pStyle w:val="Compact"/>
      </w:pPr>
      <w:r>
        <w:t xml:space="preserve">Support built-in commands, environment variables, redirection, pipes and background execution.</w:t>
      </w:r>
    </w:p>
    <w:p>
      <w:pPr>
        <w:numPr>
          <w:ilvl w:val="0"/>
          <w:numId w:val="1001"/>
        </w:numPr>
        <w:pStyle w:val="Compact"/>
      </w:pPr>
      <w:r>
        <w:t xml:space="preserve">Handle errors and signals so that the shell remains stable.</w:t>
      </w:r>
    </w:p>
    <w:p>
      <w:pPr>
        <w:numPr>
          <w:ilvl w:val="0"/>
          <w:numId w:val="1001"/>
        </w:numPr>
        <w:pStyle w:val="Compact"/>
      </w:pPr>
      <w:r>
        <w:t xml:space="preserve">Document the product with an SRS, design, test plan and traceability matrix.</w:t>
      </w:r>
    </w:p>
    <w:p>
      <w:pPr>
        <w:numPr>
          <w:ilvl w:val="0"/>
          <w:numId w:val="1001"/>
        </w:numPr>
        <w:pStyle w:val="Compact"/>
      </w:pPr>
      <w:r>
        <w:t xml:space="preserve">Verify the implementation with automated unit, functional and system tests.</w:t>
      </w:r>
    </w:p>
    <w:bookmarkEnd w:id="23"/>
    <w:bookmarkStart w:id="24" w:name="scope"/>
    <w:p>
      <w:pPr>
        <w:pStyle w:val="Heading1"/>
      </w:pPr>
      <w:r>
        <w:t xml:space="preserve">4. Scope</w:t>
      </w:r>
    </w:p>
    <w:p>
      <w:pPr>
        <w:pStyle w:val="FirstParagraph"/>
      </w:pPr>
      <w:r>
        <w:t xml:space="preserve">In scope: the features listed in the abstract. Out of scope: job control, wildcard expansion, command substitution,</w:t>
      </w:r>
      <w:r>
        <w:t xml:space="preserve"> </w:t>
      </w:r>
      <w:r>
        <w:rPr>
          <w:rStyle w:val="VerbatimChar"/>
        </w:rPr>
        <w:t xml:space="preserve">&amp;&amp;</w:t>
      </w:r>
      <w:r>
        <w:t xml:space="preserve">/</w:t>
      </w:r>
      <w:r>
        <w:rPr>
          <w:rStyle w:val="VerbatimChar"/>
        </w:rPr>
        <w:t xml:space="preserve">||</w:t>
      </w:r>
      <w:r>
        <w:t xml:space="preserve">, control-flow scripting, line editing and history (see Limitations).</w:t>
      </w:r>
    </w:p>
    <w:bookmarkEnd w:id="24"/>
    <w:bookmarkStart w:id="25" w:name="problem-context-and-existing-solutions"/>
    <w:p>
      <w:pPr>
        <w:pStyle w:val="Heading1"/>
      </w:pPr>
      <w:r>
        <w:t xml:space="preserve">5. Problem context and existing solutions</w:t>
      </w:r>
    </w:p>
    <w:p>
      <w:pPr>
        <w:pStyle w:val="FirstParagraph"/>
      </w:pPr>
      <w:r>
        <w:t xml:space="preserve">Production shells such as bash, dash and zsh implement the POSIX shell language and many extensions. They are large and hard to study. Educational shells reduce the language to the essential mechanisms. This project sits in that category: it follows POSIX conventions where it implements a feature (quoting rules, exit codes 126/127,</w:t>
      </w:r>
      <w:r>
        <w:t xml:space="preserve"> </w:t>
      </w:r>
      <w:r>
        <w:rPr>
          <w:rStyle w:val="VerbatimChar"/>
        </w:rPr>
        <w:t xml:space="preserve">$?</w:t>
      </w:r>
      <w:r>
        <w:t xml:space="preserve">) and states clearly what it omits.</w:t>
      </w:r>
    </w:p>
    <w:bookmarkEnd w:id="25"/>
    <w:bookmarkStart w:id="26" w:name="proposed-solution"/>
    <w:p>
      <w:pPr>
        <w:pStyle w:val="Heading1"/>
      </w:pPr>
      <w:r>
        <w:t xml:space="preserve">6. Proposed solution</w:t>
      </w:r>
    </w:p>
    <w:p>
      <w:pPr>
        <w:pStyle w:val="FirstParagraph"/>
      </w:pPr>
      <w:r>
        <w:t xml:space="preserve">A single-process, modular C program. A parser turns each input line into</w:t>
      </w:r>
      <w:r>
        <w:t xml:space="preserve"> </w:t>
      </w:r>
      <w:r>
        <w:rPr>
          <w:rStyle w:val="VerbatimChar"/>
        </w:rPr>
        <w:t xml:space="preserve">Pipeline</w:t>
      </w:r>
      <w:r>
        <w:t xml:space="preserve">/</w:t>
      </w:r>
      <w:r>
        <w:rPr>
          <w:rStyle w:val="VerbatimChar"/>
        </w:rPr>
        <w:t xml:space="preserve">Command</w:t>
      </w:r>
      <w:r>
        <w:t xml:space="preserve"> </w:t>
      </w:r>
      <w:r>
        <w:t xml:space="preserve">structures; an executor creates the processes; a small built-in layer handles commands that must run inside the shell; the core loop ties these together and manages signals and jobs.</w:t>
      </w:r>
    </w:p>
    <w:bookmarkEnd w:id="26"/>
    <w:bookmarkStart w:id="27" w:name="requirements"/>
    <w:p>
      <w:pPr>
        <w:pStyle w:val="Heading1"/>
      </w:pPr>
      <w:r>
        <w:t xml:space="preserve">7. Requirements</w:t>
      </w:r>
    </w:p>
    <w:p>
      <w:pPr>
        <w:pStyle w:val="FirstParagraph"/>
      </w:pPr>
      <w:r>
        <w:t xml:space="preserve">The 22 functional requirements are grouped in nine features: command loop and input sources, parsing, external command execution, built-ins, environment and expansion, redirection, pipelines and sequencing, background execution and signal handling.</w:t>
      </w:r>
    </w:p>
    <w:tbl>
      <w:tblPr>
        <w:tblW w:type="auto" w:w="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2640"/>
        <w:gridCol w:w="2640"/>
        <w:gridCol w:w="2640"/>
      </w:tblGrid>
      <w:tr>
        <w:trPr>
          <w:tblHeader w:val="true"/>
        </w:trPr>
        <w:tc>
          <w:tcPr>
            <w:shd w:val="clear" w:color="auto" w:fill="D9E2F3"/>
          </w:tcPr>
          <w:p>
            <w:pPr>
              <w:pStyle w:val="Compact"/>
              <w:spacing w:after="20" w:before="20"/>
              <w:jc w:val="left"/>
            </w:pPr>
            <w:r>
              <w:rPr>
                <w:b/>
                <w:sz w:val="19"/>
              </w:rPr>
              <w:t xml:space="preserve">ID</w:t>
            </w:r>
          </w:p>
        </w:tc>
        <w:tc>
          <w:tcPr>
            <w:shd w:val="clear" w:color="auto" w:fill="D9E2F3"/>
          </w:tcPr>
          <w:p>
            <w:pPr>
              <w:pStyle w:val="Compact"/>
              <w:spacing w:after="20" w:before="20"/>
              <w:jc w:val="left"/>
            </w:pPr>
            <w:r>
              <w:rPr>
                <w:b/>
                <w:sz w:val="19"/>
              </w:rPr>
              <w:t xml:space="preserve">Title</w:t>
            </w:r>
          </w:p>
        </w:tc>
        <w:tc>
          <w:tcPr>
            <w:shd w:val="clear" w:color="auto" w:fill="D9E2F3"/>
          </w:tcPr>
          <w:p>
            <w:pPr>
              <w:pStyle w:val="Compact"/>
              <w:spacing w:after="20" w:before="20"/>
              <w:jc w:val="left"/>
            </w:pPr>
            <w:r>
              <w:rPr>
                <w:b/>
                <w:sz w:val="19"/>
              </w:rPr>
              <w:t xml:space="preserve">Priority</w:t>
            </w:r>
          </w:p>
        </w:tc>
      </w:tr>
      <w:tr>
        <w:tc>
          <w:tcPr/>
          <w:p>
            <w:pPr>
              <w:pStyle w:val="Compact"/>
              <w:spacing w:after="20" w:before="20"/>
              <w:jc w:val="left"/>
            </w:pPr>
            <w:r>
              <w:rPr>
                <w:sz w:val="19"/>
              </w:rPr>
              <w:t xml:space="preserve">FR-01</w:t>
            </w:r>
          </w:p>
        </w:tc>
        <w:tc>
          <w:tcPr/>
          <w:p>
            <w:pPr>
              <w:pStyle w:val="Compact"/>
              <w:spacing w:after="20" w:before="20"/>
              <w:jc w:val="left"/>
            </w:pPr>
            <w:r>
              <w:rPr>
                <w:sz w:val="19"/>
              </w:rPr>
              <w:t xml:space="preserve">Interactive prompt and read-eval loop</w:t>
            </w:r>
          </w:p>
        </w:tc>
        <w:tc>
          <w:tcPr/>
          <w:p>
            <w:pPr>
              <w:pStyle w:val="Compact"/>
              <w:spacing w:after="20" w:before="20"/>
              <w:jc w:val="left"/>
            </w:pPr>
            <w:r>
              <w:rPr>
                <w:sz w:val="19"/>
              </w:rPr>
              <w:t xml:space="preserve">High</w:t>
            </w:r>
          </w:p>
        </w:tc>
      </w:tr>
      <w:tr>
        <w:tc>
          <w:tcPr/>
          <w:p>
            <w:pPr>
              <w:pStyle w:val="Compact"/>
              <w:spacing w:after="20" w:before="20"/>
              <w:jc w:val="left"/>
            </w:pPr>
            <w:r>
              <w:rPr>
                <w:sz w:val="19"/>
              </w:rPr>
              <w:t xml:space="preserve">FR-02</w:t>
            </w:r>
          </w:p>
        </w:tc>
        <w:tc>
          <w:tcPr/>
          <w:p>
            <w:pPr>
              <w:pStyle w:val="Compact"/>
              <w:spacing w:after="20" w:before="20"/>
              <w:jc w:val="left"/>
            </w:pPr>
            <w:r>
              <w:rPr>
                <w:sz w:val="19"/>
              </w:rPr>
              <w:t xml:space="preserve">Non-interactive input sources</w:t>
            </w:r>
          </w:p>
        </w:tc>
        <w:tc>
          <w:tcPr/>
          <w:p>
            <w:pPr>
              <w:pStyle w:val="Compact"/>
              <w:spacing w:after="20" w:before="20"/>
              <w:jc w:val="left"/>
            </w:pPr>
            <w:r>
              <w:rPr>
                <w:sz w:val="19"/>
              </w:rPr>
              <w:t xml:space="preserve">High</w:t>
            </w:r>
          </w:p>
        </w:tc>
      </w:tr>
      <w:tr>
        <w:tc>
          <w:tcPr/>
          <w:p>
            <w:pPr>
              <w:pStyle w:val="Compact"/>
              <w:spacing w:after="20" w:before="20"/>
              <w:jc w:val="left"/>
            </w:pPr>
            <w:r>
              <w:rPr>
                <w:sz w:val="19"/>
              </w:rPr>
              <w:t xml:space="preserve">FR-03</w:t>
            </w:r>
          </w:p>
        </w:tc>
        <w:tc>
          <w:tcPr/>
          <w:p>
            <w:pPr>
              <w:pStyle w:val="Compact"/>
              <w:spacing w:after="20" w:before="20"/>
              <w:jc w:val="left"/>
            </w:pPr>
            <w:r>
              <w:rPr>
                <w:sz w:val="19"/>
              </w:rPr>
              <w:t xml:space="preserve">Tokenization and quoting</w:t>
            </w:r>
          </w:p>
        </w:tc>
        <w:tc>
          <w:tcPr/>
          <w:p>
            <w:pPr>
              <w:pStyle w:val="Compact"/>
              <w:spacing w:after="20" w:before="20"/>
              <w:jc w:val="left"/>
            </w:pPr>
            <w:r>
              <w:rPr>
                <w:sz w:val="19"/>
              </w:rPr>
              <w:t xml:space="preserve">High</w:t>
            </w:r>
          </w:p>
        </w:tc>
      </w:tr>
      <w:tr>
        <w:tc>
          <w:tcPr/>
          <w:p>
            <w:pPr>
              <w:pStyle w:val="Compact"/>
              <w:spacing w:after="20" w:before="20"/>
              <w:jc w:val="left"/>
            </w:pPr>
            <w:r>
              <w:rPr>
                <w:sz w:val="19"/>
              </w:rPr>
              <w:t xml:space="preserve">FR-04</w:t>
            </w:r>
          </w:p>
        </w:tc>
        <w:tc>
          <w:tcPr/>
          <w:p>
            <w:pPr>
              <w:pStyle w:val="Compact"/>
              <w:spacing w:after="20" w:before="20"/>
              <w:jc w:val="left"/>
            </w:pPr>
            <w:r>
              <w:rPr>
                <w:sz w:val="19"/>
              </w:rPr>
              <w:t xml:space="preserve">Syntax error detection and reporting</w:t>
            </w:r>
          </w:p>
        </w:tc>
        <w:tc>
          <w:tcPr/>
          <w:p>
            <w:pPr>
              <w:pStyle w:val="Compact"/>
              <w:spacing w:after="20" w:before="20"/>
              <w:jc w:val="left"/>
            </w:pPr>
            <w:r>
              <w:rPr>
                <w:sz w:val="19"/>
              </w:rPr>
              <w:t xml:space="preserve">High</w:t>
            </w:r>
          </w:p>
        </w:tc>
      </w:tr>
      <w:tr>
        <w:tc>
          <w:tcPr/>
          <w:p>
            <w:pPr>
              <w:pStyle w:val="Compact"/>
              <w:spacing w:after="20" w:before="20"/>
              <w:jc w:val="left"/>
            </w:pPr>
            <w:r>
              <w:rPr>
                <w:sz w:val="19"/>
              </w:rPr>
              <w:t xml:space="preserve">FR-05</w:t>
            </w:r>
          </w:p>
        </w:tc>
        <w:tc>
          <w:tcPr/>
          <w:p>
            <w:pPr>
              <w:pStyle w:val="Compact"/>
              <w:spacing w:after="20" w:before="20"/>
              <w:jc w:val="left"/>
            </w:pPr>
            <w:r>
              <w:rPr>
                <w:sz w:val="19"/>
              </w:rPr>
              <w:t xml:space="preserve">External command execution with PATH search</w:t>
            </w:r>
          </w:p>
        </w:tc>
        <w:tc>
          <w:tcPr/>
          <w:p>
            <w:pPr>
              <w:pStyle w:val="Compact"/>
              <w:spacing w:after="20" w:before="20"/>
              <w:jc w:val="left"/>
            </w:pPr>
            <w:r>
              <w:rPr>
                <w:sz w:val="19"/>
              </w:rPr>
              <w:t xml:space="preserve">High</w:t>
            </w:r>
          </w:p>
        </w:tc>
      </w:tr>
      <w:tr>
        <w:tc>
          <w:tcPr/>
          <w:p>
            <w:pPr>
              <w:pStyle w:val="Compact"/>
              <w:spacing w:after="20" w:before="20"/>
              <w:jc w:val="left"/>
            </w:pPr>
            <w:r>
              <w:rPr>
                <w:sz w:val="19"/>
              </w:rPr>
              <w:t xml:space="preserve">FR-06</w:t>
            </w:r>
          </w:p>
        </w:tc>
        <w:tc>
          <w:tcPr/>
          <w:p>
            <w:pPr>
              <w:pStyle w:val="Compact"/>
              <w:spacing w:after="20" w:before="20"/>
              <w:jc w:val="left"/>
            </w:pPr>
            <w:r>
              <w:rPr>
                <w:sz w:val="19"/>
              </w:rPr>
              <w:t xml:space="preserve">Foreground wait and exit status</w:t>
            </w:r>
          </w:p>
        </w:tc>
        <w:tc>
          <w:tcPr/>
          <w:p>
            <w:pPr>
              <w:pStyle w:val="Compact"/>
              <w:spacing w:after="20" w:before="20"/>
              <w:jc w:val="left"/>
            </w:pPr>
            <w:r>
              <w:rPr>
                <w:sz w:val="19"/>
              </w:rPr>
              <w:t xml:space="preserve">High</w:t>
            </w:r>
          </w:p>
        </w:tc>
      </w:tr>
      <w:tr>
        <w:tc>
          <w:tcPr/>
          <w:p>
            <w:pPr>
              <w:pStyle w:val="Compact"/>
              <w:spacing w:after="20" w:before="20"/>
              <w:jc w:val="left"/>
            </w:pPr>
            <w:r>
              <w:rPr>
                <w:sz w:val="19"/>
              </w:rPr>
              <w:t xml:space="preserve">FR-07</w:t>
            </w:r>
          </w:p>
        </w:tc>
        <w:tc>
          <w:tcPr/>
          <w:p>
            <w:pPr>
              <w:pStyle w:val="Compact"/>
              <w:spacing w:after="20" w:before="20"/>
              <w:jc w:val="left"/>
            </w:pPr>
            <w:r>
              <w:rPr>
                <w:sz w:val="19"/>
              </w:rPr>
              <w:t xml:space="preserve">Invalid command handling</w:t>
            </w:r>
          </w:p>
        </w:tc>
        <w:tc>
          <w:tcPr/>
          <w:p>
            <w:pPr>
              <w:pStyle w:val="Compact"/>
              <w:spacing w:after="20" w:before="20"/>
              <w:jc w:val="left"/>
            </w:pPr>
            <w:r>
              <w:rPr>
                <w:sz w:val="19"/>
              </w:rPr>
              <w:t xml:space="preserve">High</w:t>
            </w:r>
          </w:p>
        </w:tc>
      </w:tr>
      <w:tr>
        <w:tc>
          <w:tcPr/>
          <w:p>
            <w:pPr>
              <w:pStyle w:val="Compact"/>
              <w:spacing w:after="20" w:before="20"/>
              <w:jc w:val="left"/>
            </w:pPr>
            <w:r>
              <w:rPr>
                <w:sz w:val="19"/>
              </w:rPr>
              <w:t xml:space="preserve">FR-08</w:t>
            </w:r>
          </w:p>
        </w:tc>
        <w:tc>
          <w:tcPr/>
          <w:p>
            <w:pPr>
              <w:pStyle w:val="Compact"/>
              <w:spacing w:after="20" w:before="20"/>
              <w:jc w:val="left"/>
            </w:pPr>
            <w:r>
              <w:rPr>
                <w:sz w:val="19"/>
              </w:rPr>
              <w:t xml:space="preserve">Built-in cd</w:t>
            </w:r>
          </w:p>
        </w:tc>
        <w:tc>
          <w:tcPr/>
          <w:p>
            <w:pPr>
              <w:pStyle w:val="Compact"/>
              <w:spacing w:after="20" w:before="20"/>
              <w:jc w:val="left"/>
            </w:pPr>
            <w:r>
              <w:rPr>
                <w:sz w:val="19"/>
              </w:rPr>
              <w:t xml:space="preserve">High</w:t>
            </w:r>
          </w:p>
        </w:tc>
      </w:tr>
      <w:tr>
        <w:tc>
          <w:tcPr/>
          <w:p>
            <w:pPr>
              <w:pStyle w:val="Compact"/>
              <w:spacing w:after="20" w:before="20"/>
              <w:jc w:val="left"/>
            </w:pPr>
            <w:r>
              <w:rPr>
                <w:sz w:val="19"/>
              </w:rPr>
              <w:t xml:space="preserve">FR-09</w:t>
            </w:r>
          </w:p>
        </w:tc>
        <w:tc>
          <w:tcPr/>
          <w:p>
            <w:pPr>
              <w:pStyle w:val="Compact"/>
              <w:spacing w:after="20" w:before="20"/>
              <w:jc w:val="left"/>
            </w:pPr>
            <w:r>
              <w:rPr>
                <w:sz w:val="19"/>
              </w:rPr>
              <w:t xml:space="preserve">Built-in pwd</w:t>
            </w:r>
          </w:p>
        </w:tc>
        <w:tc>
          <w:tcPr/>
          <w:p>
            <w:pPr>
              <w:pStyle w:val="Compact"/>
              <w:spacing w:after="20" w:before="20"/>
              <w:jc w:val="left"/>
            </w:pPr>
            <w:r>
              <w:rPr>
                <w:sz w:val="19"/>
              </w:rPr>
              <w:t xml:space="preserve">High</w:t>
            </w:r>
          </w:p>
        </w:tc>
      </w:tr>
      <w:tr>
        <w:tc>
          <w:tcPr/>
          <w:p>
            <w:pPr>
              <w:pStyle w:val="Compact"/>
              <w:spacing w:after="20" w:before="20"/>
              <w:jc w:val="left"/>
            </w:pPr>
            <w:r>
              <w:rPr>
                <w:sz w:val="19"/>
              </w:rPr>
              <w:t xml:space="preserve">FR-10</w:t>
            </w:r>
          </w:p>
        </w:tc>
        <w:tc>
          <w:tcPr/>
          <w:p>
            <w:pPr>
              <w:pStyle w:val="Compact"/>
              <w:spacing w:after="20" w:before="20"/>
              <w:jc w:val="left"/>
            </w:pPr>
            <w:r>
              <w:rPr>
                <w:sz w:val="19"/>
              </w:rPr>
              <w:t xml:space="preserve">Built-in exit</w:t>
            </w:r>
          </w:p>
        </w:tc>
        <w:tc>
          <w:tcPr/>
          <w:p>
            <w:pPr>
              <w:pStyle w:val="Compact"/>
              <w:spacing w:after="20" w:before="20"/>
              <w:jc w:val="left"/>
            </w:pPr>
            <w:r>
              <w:rPr>
                <w:sz w:val="19"/>
              </w:rPr>
              <w:t xml:space="preserve">High</w:t>
            </w:r>
          </w:p>
        </w:tc>
      </w:tr>
      <w:tr>
        <w:tc>
          <w:tcPr/>
          <w:p>
            <w:pPr>
              <w:pStyle w:val="Compact"/>
              <w:spacing w:after="20" w:before="20"/>
              <w:jc w:val="left"/>
            </w:pPr>
            <w:r>
              <w:rPr>
                <w:sz w:val="19"/>
              </w:rPr>
              <w:t xml:space="preserve">FR-11</w:t>
            </w:r>
          </w:p>
        </w:tc>
        <w:tc>
          <w:tcPr/>
          <w:p>
            <w:pPr>
              <w:pStyle w:val="Compact"/>
              <w:spacing w:after="20" w:before="20"/>
              <w:jc w:val="left"/>
            </w:pPr>
            <w:r>
              <w:rPr>
                <w:sz w:val="19"/>
              </w:rPr>
              <w:t xml:space="preserve">Built-in help</w:t>
            </w:r>
          </w:p>
        </w:tc>
        <w:tc>
          <w:tcPr/>
          <w:p>
            <w:pPr>
              <w:pStyle w:val="Compact"/>
              <w:spacing w:after="20" w:before="20"/>
              <w:jc w:val="left"/>
            </w:pPr>
            <w:r>
              <w:rPr>
                <w:sz w:val="19"/>
              </w:rPr>
              <w:t xml:space="preserve">Medium</w:t>
            </w:r>
          </w:p>
        </w:tc>
      </w:tr>
      <w:tr>
        <w:tc>
          <w:tcPr/>
          <w:p>
            <w:pPr>
              <w:pStyle w:val="Compact"/>
              <w:spacing w:after="20" w:before="20"/>
              <w:jc w:val="left"/>
            </w:pPr>
            <w:r>
              <w:rPr>
                <w:sz w:val="19"/>
              </w:rPr>
              <w:t xml:space="preserve">FR-12</w:t>
            </w:r>
          </w:p>
        </w:tc>
        <w:tc>
          <w:tcPr/>
          <w:p>
            <w:pPr>
              <w:pStyle w:val="Compact"/>
              <w:spacing w:after="20" w:before="20"/>
              <w:jc w:val="left"/>
            </w:pPr>
            <w:r>
              <w:rPr>
                <w:sz w:val="19"/>
              </w:rPr>
              <w:t xml:space="preserve">Environment variables</w:t>
            </w:r>
          </w:p>
        </w:tc>
        <w:tc>
          <w:tcPr/>
          <w:p>
            <w:pPr>
              <w:pStyle w:val="Compact"/>
              <w:spacing w:after="20" w:before="20"/>
              <w:jc w:val="left"/>
            </w:pPr>
            <w:r>
              <w:rPr>
                <w:sz w:val="19"/>
              </w:rPr>
              <w:t xml:space="preserve">High</w:t>
            </w:r>
          </w:p>
        </w:tc>
      </w:tr>
      <w:tr>
        <w:tc>
          <w:tcPr/>
          <w:p>
            <w:pPr>
              <w:pStyle w:val="Compact"/>
              <w:spacing w:after="20" w:before="20"/>
              <w:jc w:val="left"/>
            </w:pPr>
            <w:r>
              <w:rPr>
                <w:sz w:val="19"/>
              </w:rPr>
              <w:t xml:space="preserve">FR-13</w:t>
            </w:r>
          </w:p>
        </w:tc>
        <w:tc>
          <w:tcPr/>
          <w:p>
            <w:pPr>
              <w:pStyle w:val="Compact"/>
              <w:spacing w:after="20" w:before="20"/>
              <w:jc w:val="left"/>
            </w:pPr>
            <w:r>
              <w:rPr>
                <w:sz w:val="19"/>
              </w:rPr>
              <w:t xml:space="preserve">Variable and tilde expansion</w:t>
            </w:r>
          </w:p>
        </w:tc>
        <w:tc>
          <w:tcPr/>
          <w:p>
            <w:pPr>
              <w:pStyle w:val="Compact"/>
              <w:spacing w:after="20" w:before="20"/>
              <w:jc w:val="left"/>
            </w:pPr>
            <w:r>
              <w:rPr>
                <w:sz w:val="19"/>
              </w:rPr>
              <w:t xml:space="preserve">High</w:t>
            </w:r>
          </w:p>
        </w:tc>
      </w:tr>
      <w:tr>
        <w:tc>
          <w:tcPr/>
          <w:p>
            <w:pPr>
              <w:pStyle w:val="Compact"/>
              <w:spacing w:after="20" w:before="20"/>
              <w:jc w:val="left"/>
            </w:pPr>
            <w:r>
              <w:rPr>
                <w:sz w:val="19"/>
              </w:rPr>
              <w:t xml:space="preserve">FR-14</w:t>
            </w:r>
          </w:p>
        </w:tc>
        <w:tc>
          <w:tcPr/>
          <w:p>
            <w:pPr>
              <w:pStyle w:val="Compact"/>
              <w:spacing w:after="20" w:before="20"/>
              <w:jc w:val="left"/>
            </w:pPr>
            <w:r>
              <w:rPr>
                <w:sz w:val="19"/>
              </w:rPr>
              <w:t xml:space="preserve">Output redirection &gt;</w:t>
            </w:r>
          </w:p>
        </w:tc>
        <w:tc>
          <w:tcPr/>
          <w:p>
            <w:pPr>
              <w:pStyle w:val="Compact"/>
              <w:spacing w:after="20" w:before="20"/>
              <w:jc w:val="left"/>
            </w:pPr>
            <w:r>
              <w:rPr>
                <w:sz w:val="19"/>
              </w:rPr>
              <w:t xml:space="preserve">High</w:t>
            </w:r>
          </w:p>
        </w:tc>
      </w:tr>
      <w:tr>
        <w:tc>
          <w:tcPr/>
          <w:p>
            <w:pPr>
              <w:pStyle w:val="Compact"/>
              <w:spacing w:after="20" w:before="20"/>
              <w:jc w:val="left"/>
            </w:pPr>
            <w:r>
              <w:rPr>
                <w:sz w:val="19"/>
              </w:rPr>
              <w:t xml:space="preserve">FR-15</w:t>
            </w:r>
          </w:p>
        </w:tc>
        <w:tc>
          <w:tcPr/>
          <w:p>
            <w:pPr>
              <w:pStyle w:val="Compact"/>
              <w:spacing w:after="20" w:before="20"/>
              <w:jc w:val="left"/>
            </w:pPr>
            <w:r>
              <w:rPr>
                <w:sz w:val="19"/>
              </w:rPr>
              <w:t xml:space="preserve">Append redirection &gt;&gt;</w:t>
            </w:r>
          </w:p>
        </w:tc>
        <w:tc>
          <w:tcPr/>
          <w:p>
            <w:pPr>
              <w:pStyle w:val="Compact"/>
              <w:spacing w:after="20" w:before="20"/>
              <w:jc w:val="left"/>
            </w:pPr>
            <w:r>
              <w:rPr>
                <w:sz w:val="19"/>
              </w:rPr>
              <w:t xml:space="preserve">High</w:t>
            </w:r>
          </w:p>
        </w:tc>
      </w:tr>
      <w:tr>
        <w:tc>
          <w:tcPr/>
          <w:p>
            <w:pPr>
              <w:pStyle w:val="Compact"/>
              <w:spacing w:after="20" w:before="20"/>
              <w:jc w:val="left"/>
            </w:pPr>
            <w:r>
              <w:rPr>
                <w:sz w:val="19"/>
              </w:rPr>
              <w:t xml:space="preserve">FR-16</w:t>
            </w:r>
          </w:p>
        </w:tc>
        <w:tc>
          <w:tcPr/>
          <w:p>
            <w:pPr>
              <w:pStyle w:val="Compact"/>
              <w:spacing w:after="20" w:before="20"/>
              <w:jc w:val="left"/>
            </w:pPr>
            <w:r>
              <w:rPr>
                <w:sz w:val="19"/>
              </w:rPr>
              <w:t xml:space="preserve">Input redirection &lt;</w:t>
            </w:r>
          </w:p>
        </w:tc>
        <w:tc>
          <w:tcPr/>
          <w:p>
            <w:pPr>
              <w:pStyle w:val="Compact"/>
              <w:spacing w:after="20" w:before="20"/>
              <w:jc w:val="left"/>
            </w:pPr>
            <w:r>
              <w:rPr>
                <w:sz w:val="19"/>
              </w:rPr>
              <w:t xml:space="preserve">High</w:t>
            </w:r>
          </w:p>
        </w:tc>
      </w:tr>
      <w:tr>
        <w:tc>
          <w:tcPr/>
          <w:p>
            <w:pPr>
              <w:pStyle w:val="Compact"/>
              <w:spacing w:after="20" w:before="20"/>
              <w:jc w:val="left"/>
            </w:pPr>
            <w:r>
              <w:rPr>
                <w:sz w:val="19"/>
              </w:rPr>
              <w:t xml:space="preserve">FR-17</w:t>
            </w:r>
          </w:p>
        </w:tc>
        <w:tc>
          <w:tcPr/>
          <w:p>
            <w:pPr>
              <w:pStyle w:val="Compact"/>
              <w:spacing w:after="20" w:before="20"/>
              <w:jc w:val="left"/>
            </w:pPr>
            <w:r>
              <w:rPr>
                <w:sz w:val="19"/>
              </w:rPr>
              <w:t xml:space="preserve">Redirection error handling</w:t>
            </w:r>
          </w:p>
        </w:tc>
        <w:tc>
          <w:tcPr/>
          <w:p>
            <w:pPr>
              <w:pStyle w:val="Compact"/>
              <w:spacing w:after="20" w:before="20"/>
              <w:jc w:val="left"/>
            </w:pPr>
            <w:r>
              <w:rPr>
                <w:sz w:val="19"/>
              </w:rPr>
              <w:t xml:space="preserve">High</w:t>
            </w:r>
          </w:p>
        </w:tc>
      </w:tr>
      <w:tr>
        <w:tc>
          <w:tcPr/>
          <w:p>
            <w:pPr>
              <w:pStyle w:val="Compact"/>
              <w:spacing w:after="20" w:before="20"/>
              <w:jc w:val="left"/>
            </w:pPr>
            <w:r>
              <w:rPr>
                <w:sz w:val="19"/>
              </w:rPr>
              <w:t xml:space="preserve">FR-18</w:t>
            </w:r>
          </w:p>
        </w:tc>
        <w:tc>
          <w:tcPr/>
          <w:p>
            <w:pPr>
              <w:pStyle w:val="Compact"/>
              <w:spacing w:after="20" w:before="20"/>
              <w:jc w:val="left"/>
            </w:pPr>
            <w:r>
              <w:rPr>
                <w:sz w:val="19"/>
              </w:rPr>
              <w:t xml:space="preserve">Pipelines</w:t>
            </w:r>
          </w:p>
        </w:tc>
        <w:tc>
          <w:tcPr/>
          <w:p>
            <w:pPr>
              <w:pStyle w:val="Compact"/>
              <w:spacing w:after="20" w:before="20"/>
              <w:jc w:val="left"/>
            </w:pPr>
            <w:r>
              <w:rPr>
                <w:sz w:val="19"/>
              </w:rPr>
              <w:t xml:space="preserve">High</w:t>
            </w:r>
          </w:p>
        </w:tc>
      </w:tr>
      <w:tr>
        <w:tc>
          <w:tcPr/>
          <w:p>
            <w:pPr>
              <w:pStyle w:val="Compact"/>
              <w:spacing w:after="20" w:before="20"/>
              <w:jc w:val="left"/>
            </w:pPr>
            <w:r>
              <w:rPr>
                <w:sz w:val="19"/>
              </w:rPr>
              <w:t xml:space="preserve">FR-19</w:t>
            </w:r>
          </w:p>
        </w:tc>
        <w:tc>
          <w:tcPr/>
          <w:p>
            <w:pPr>
              <w:pStyle w:val="Compact"/>
              <w:spacing w:after="20" w:before="20"/>
              <w:jc w:val="left"/>
            </w:pPr>
            <w:r>
              <w:rPr>
                <w:sz w:val="19"/>
              </w:rPr>
              <w:t xml:space="preserve">Command sequencing with ;</w:t>
            </w:r>
          </w:p>
        </w:tc>
        <w:tc>
          <w:tcPr/>
          <w:p>
            <w:pPr>
              <w:pStyle w:val="Compact"/>
              <w:spacing w:after="20" w:before="20"/>
              <w:jc w:val="left"/>
            </w:pPr>
            <w:r>
              <w:rPr>
                <w:sz w:val="19"/>
              </w:rPr>
              <w:t xml:space="preserve">Medium</w:t>
            </w:r>
          </w:p>
        </w:tc>
      </w:tr>
      <w:tr>
        <w:tc>
          <w:tcPr/>
          <w:p>
            <w:pPr>
              <w:pStyle w:val="Compact"/>
              <w:spacing w:after="20" w:before="20"/>
              <w:jc w:val="left"/>
            </w:pPr>
            <w:r>
              <w:rPr>
                <w:sz w:val="19"/>
              </w:rPr>
              <w:t xml:space="preserve">FR-20</w:t>
            </w:r>
          </w:p>
        </w:tc>
        <w:tc>
          <w:tcPr/>
          <w:p>
            <w:pPr>
              <w:pStyle w:val="Compact"/>
              <w:spacing w:after="20" w:before="20"/>
              <w:jc w:val="left"/>
            </w:pPr>
            <w:r>
              <w:rPr>
                <w:sz w:val="19"/>
              </w:rPr>
              <w:t xml:space="preserve">Background execution with &amp;</w:t>
            </w:r>
          </w:p>
        </w:tc>
        <w:tc>
          <w:tcPr/>
          <w:p>
            <w:pPr>
              <w:pStyle w:val="Compact"/>
              <w:spacing w:after="20" w:before="20"/>
              <w:jc w:val="left"/>
            </w:pPr>
            <w:r>
              <w:rPr>
                <w:sz w:val="19"/>
              </w:rPr>
              <w:t xml:space="preserve">High</w:t>
            </w:r>
          </w:p>
        </w:tc>
      </w:tr>
      <w:tr>
        <w:tc>
          <w:tcPr/>
          <w:p>
            <w:pPr>
              <w:pStyle w:val="Compact"/>
              <w:spacing w:after="20" w:before="20"/>
              <w:jc w:val="left"/>
            </w:pPr>
            <w:r>
              <w:rPr>
                <w:sz w:val="19"/>
              </w:rPr>
              <w:t xml:space="preserve">FR-21</w:t>
            </w:r>
          </w:p>
        </w:tc>
        <w:tc>
          <w:tcPr/>
          <w:p>
            <w:pPr>
              <w:pStyle w:val="Compact"/>
              <w:spacing w:after="20" w:before="20"/>
              <w:jc w:val="left"/>
            </w:pPr>
            <w:r>
              <w:rPr>
                <w:sz w:val="19"/>
              </w:rPr>
              <w:t xml:space="preserve">Signal handling</w:t>
            </w:r>
          </w:p>
        </w:tc>
        <w:tc>
          <w:tcPr/>
          <w:p>
            <w:pPr>
              <w:pStyle w:val="Compact"/>
              <w:spacing w:after="20" w:before="20"/>
              <w:jc w:val="left"/>
            </w:pPr>
            <w:r>
              <w:rPr>
                <w:sz w:val="19"/>
              </w:rPr>
              <w:t xml:space="preserve">High</w:t>
            </w:r>
          </w:p>
        </w:tc>
      </w:tr>
      <w:tr>
        <w:tc>
          <w:tcPr/>
          <w:p>
            <w:pPr>
              <w:pStyle w:val="Compact"/>
              <w:spacing w:after="20" w:before="20"/>
              <w:jc w:val="left"/>
            </w:pPr>
            <w:r>
              <w:rPr>
                <w:sz w:val="19"/>
              </w:rPr>
              <w:t xml:space="preserve">FR-22</w:t>
            </w:r>
          </w:p>
        </w:tc>
        <w:tc>
          <w:tcPr/>
          <w:p>
            <w:pPr>
              <w:pStyle w:val="Compact"/>
              <w:spacing w:after="20" w:before="20"/>
              <w:jc w:val="left"/>
            </w:pPr>
            <w:r>
              <w:rPr>
                <w:sz w:val="19"/>
              </w:rPr>
              <w:t xml:space="preserve">Graceful termination</w:t>
            </w:r>
          </w:p>
        </w:tc>
        <w:tc>
          <w:tcPr/>
          <w:p>
            <w:pPr>
              <w:pStyle w:val="Compact"/>
              <w:spacing w:after="20" w:before="20"/>
              <w:jc w:val="left"/>
            </w:pPr>
            <w:r>
              <w:rPr>
                <w:sz w:val="19"/>
              </w:rPr>
              <w:t xml:space="preserve">High</w:t>
            </w:r>
          </w:p>
        </w:tc>
      </w:tr>
    </w:tbl>
    <w:p>
      <w:pPr>
        <w:pStyle w:val="BodyText"/>
      </w:pPr>
      <w:r>
        <w:t xml:space="preserve">Non-functional requirements cover performance (responsiveness), robustness, usability, maintainability, portability, security, testability, memory safety and reliability:</w:t>
      </w:r>
    </w:p>
    <w:tbl>
      <w:tblPr>
        <w:tblW w:type="auto" w:w="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3960"/>
        <w:gridCol w:w="3960"/>
      </w:tblGrid>
      <w:tr>
        <w:trPr>
          <w:tblHeader w:val="true"/>
        </w:trPr>
        <w:tc>
          <w:tcPr>
            <w:shd w:val="clear" w:color="auto" w:fill="D9E2F3"/>
          </w:tcPr>
          <w:p>
            <w:pPr>
              <w:pStyle w:val="Compact"/>
              <w:spacing w:after="20" w:before="20"/>
              <w:jc w:val="left"/>
            </w:pPr>
            <w:r>
              <w:rPr>
                <w:b/>
                <w:sz w:val="19"/>
              </w:rPr>
              <w:t xml:space="preserve">ID</w:t>
            </w:r>
          </w:p>
        </w:tc>
        <w:tc>
          <w:tcPr>
            <w:shd w:val="clear" w:color="auto" w:fill="D9E2F3"/>
          </w:tcPr>
          <w:p>
            <w:pPr>
              <w:pStyle w:val="Compact"/>
              <w:spacing w:after="20" w:before="20"/>
              <w:jc w:val="left"/>
            </w:pPr>
            <w:r>
              <w:rPr>
                <w:b/>
                <w:sz w:val="19"/>
              </w:rPr>
              <w:t xml:space="preserve">Category</w:t>
            </w:r>
          </w:p>
        </w:tc>
      </w:tr>
      <w:tr>
        <w:tc>
          <w:tcPr/>
          <w:p>
            <w:pPr>
              <w:pStyle w:val="Compact"/>
              <w:spacing w:after="20" w:before="20"/>
              <w:jc w:val="left"/>
            </w:pPr>
            <w:r>
              <w:rPr>
                <w:sz w:val="19"/>
              </w:rPr>
              <w:t xml:space="preserve">NFR-01</w:t>
            </w:r>
          </w:p>
        </w:tc>
        <w:tc>
          <w:tcPr/>
          <w:p>
            <w:pPr>
              <w:pStyle w:val="Compact"/>
              <w:spacing w:after="20" w:before="20"/>
              <w:jc w:val="left"/>
            </w:pPr>
            <w:r>
              <w:rPr>
                <w:sz w:val="19"/>
              </w:rPr>
              <w:t xml:space="preserve">Performance</w:t>
            </w:r>
          </w:p>
        </w:tc>
      </w:tr>
      <w:tr>
        <w:tc>
          <w:tcPr/>
          <w:p>
            <w:pPr>
              <w:pStyle w:val="Compact"/>
              <w:spacing w:after="20" w:before="20"/>
              <w:jc w:val="left"/>
            </w:pPr>
            <w:r>
              <w:rPr>
                <w:sz w:val="19"/>
              </w:rPr>
              <w:t xml:space="preserve">NFR-02</w:t>
            </w:r>
          </w:p>
        </w:tc>
        <w:tc>
          <w:tcPr/>
          <w:p>
            <w:pPr>
              <w:pStyle w:val="Compact"/>
              <w:spacing w:after="20" w:before="20"/>
              <w:jc w:val="left"/>
            </w:pPr>
            <w:r>
              <w:rPr>
                <w:sz w:val="19"/>
              </w:rPr>
              <w:t xml:space="preserve">Robustness</w:t>
            </w:r>
          </w:p>
        </w:tc>
      </w:tr>
      <w:tr>
        <w:tc>
          <w:tcPr/>
          <w:p>
            <w:pPr>
              <w:pStyle w:val="Compact"/>
              <w:spacing w:after="20" w:before="20"/>
              <w:jc w:val="left"/>
            </w:pPr>
            <w:r>
              <w:rPr>
                <w:sz w:val="19"/>
              </w:rPr>
              <w:t xml:space="preserve">NFR-03</w:t>
            </w:r>
          </w:p>
        </w:tc>
        <w:tc>
          <w:tcPr/>
          <w:p>
            <w:pPr>
              <w:pStyle w:val="Compact"/>
              <w:spacing w:after="20" w:before="20"/>
              <w:jc w:val="left"/>
            </w:pPr>
            <w:r>
              <w:rPr>
                <w:sz w:val="19"/>
              </w:rPr>
              <w:t xml:space="preserve">Usability</w:t>
            </w:r>
          </w:p>
        </w:tc>
      </w:tr>
      <w:tr>
        <w:tc>
          <w:tcPr/>
          <w:p>
            <w:pPr>
              <w:pStyle w:val="Compact"/>
              <w:spacing w:after="20" w:before="20"/>
              <w:jc w:val="left"/>
            </w:pPr>
            <w:r>
              <w:rPr>
                <w:sz w:val="19"/>
              </w:rPr>
              <w:t xml:space="preserve">NFR-04</w:t>
            </w:r>
          </w:p>
        </w:tc>
        <w:tc>
          <w:tcPr/>
          <w:p>
            <w:pPr>
              <w:pStyle w:val="Compact"/>
              <w:spacing w:after="20" w:before="20"/>
              <w:jc w:val="left"/>
            </w:pPr>
            <w:r>
              <w:rPr>
                <w:sz w:val="19"/>
              </w:rPr>
              <w:t xml:space="preserve">Maintainability</w:t>
            </w:r>
          </w:p>
        </w:tc>
      </w:tr>
      <w:tr>
        <w:tc>
          <w:tcPr/>
          <w:p>
            <w:pPr>
              <w:pStyle w:val="Compact"/>
              <w:spacing w:after="20" w:before="20"/>
              <w:jc w:val="left"/>
            </w:pPr>
            <w:r>
              <w:rPr>
                <w:sz w:val="19"/>
              </w:rPr>
              <w:t xml:space="preserve">NFR-05</w:t>
            </w:r>
          </w:p>
        </w:tc>
        <w:tc>
          <w:tcPr/>
          <w:p>
            <w:pPr>
              <w:pStyle w:val="Compact"/>
              <w:spacing w:after="20" w:before="20"/>
              <w:jc w:val="left"/>
            </w:pPr>
            <w:r>
              <w:rPr>
                <w:sz w:val="19"/>
              </w:rPr>
              <w:t xml:space="preserve">Portability</w:t>
            </w:r>
          </w:p>
        </w:tc>
      </w:tr>
      <w:tr>
        <w:tc>
          <w:tcPr/>
          <w:p>
            <w:pPr>
              <w:pStyle w:val="Compact"/>
              <w:spacing w:after="20" w:before="20"/>
              <w:jc w:val="left"/>
            </w:pPr>
            <w:r>
              <w:rPr>
                <w:sz w:val="19"/>
              </w:rPr>
              <w:t xml:space="preserve">NFR-06</w:t>
            </w:r>
          </w:p>
        </w:tc>
        <w:tc>
          <w:tcPr/>
          <w:p>
            <w:pPr>
              <w:pStyle w:val="Compact"/>
              <w:spacing w:after="20" w:before="20"/>
              <w:jc w:val="left"/>
            </w:pPr>
            <w:r>
              <w:rPr>
                <w:sz w:val="19"/>
              </w:rPr>
              <w:t xml:space="preserve">Security</w:t>
            </w:r>
          </w:p>
        </w:tc>
      </w:tr>
      <w:tr>
        <w:tc>
          <w:tcPr/>
          <w:p>
            <w:pPr>
              <w:pStyle w:val="Compact"/>
              <w:spacing w:after="20" w:before="20"/>
              <w:jc w:val="left"/>
            </w:pPr>
            <w:r>
              <w:rPr>
                <w:sz w:val="19"/>
              </w:rPr>
              <w:t xml:space="preserve">NFR-07</w:t>
            </w:r>
          </w:p>
        </w:tc>
        <w:tc>
          <w:tcPr/>
          <w:p>
            <w:pPr>
              <w:pStyle w:val="Compact"/>
              <w:spacing w:after="20" w:before="20"/>
              <w:jc w:val="left"/>
            </w:pPr>
            <w:r>
              <w:rPr>
                <w:sz w:val="19"/>
              </w:rPr>
              <w:t xml:space="preserve">Testability</w:t>
            </w:r>
          </w:p>
        </w:tc>
      </w:tr>
      <w:tr>
        <w:tc>
          <w:tcPr/>
          <w:p>
            <w:pPr>
              <w:pStyle w:val="Compact"/>
              <w:spacing w:after="20" w:before="20"/>
              <w:jc w:val="left"/>
            </w:pPr>
            <w:r>
              <w:rPr>
                <w:sz w:val="19"/>
              </w:rPr>
              <w:t xml:space="preserve">NFR-08</w:t>
            </w:r>
          </w:p>
        </w:tc>
        <w:tc>
          <w:tcPr/>
          <w:p>
            <w:pPr>
              <w:pStyle w:val="Compact"/>
              <w:spacing w:after="20" w:before="20"/>
              <w:jc w:val="left"/>
            </w:pPr>
            <w:r>
              <w:rPr>
                <w:sz w:val="19"/>
              </w:rPr>
              <w:t xml:space="preserve">Memory safety and resource management</w:t>
            </w:r>
          </w:p>
        </w:tc>
      </w:tr>
      <w:tr>
        <w:tc>
          <w:tcPr/>
          <w:p>
            <w:pPr>
              <w:pStyle w:val="Compact"/>
              <w:spacing w:after="20" w:before="20"/>
              <w:jc w:val="left"/>
            </w:pPr>
            <w:r>
              <w:rPr>
                <w:sz w:val="19"/>
              </w:rPr>
              <w:t xml:space="preserve">NFR-09</w:t>
            </w:r>
          </w:p>
        </w:tc>
        <w:tc>
          <w:tcPr/>
          <w:p>
            <w:pPr>
              <w:pStyle w:val="Compact"/>
              <w:spacing w:after="20" w:before="20"/>
              <w:jc w:val="left"/>
            </w:pPr>
            <w:r>
              <w:rPr>
                <w:sz w:val="19"/>
              </w:rPr>
              <w:t xml:space="preserve">Reliability</w:t>
            </w:r>
          </w:p>
        </w:tc>
      </w:tr>
    </w:tbl>
    <w:bookmarkEnd w:id="27"/>
    <w:bookmarkStart w:id="34" w:name="architecture"/>
    <w:p>
      <w:pPr>
        <w:pStyle w:val="Heading1"/>
      </w:pPr>
      <w:r>
        <w:t xml:space="preserve">8. Architecture</w:t>
      </w:r>
    </w:p>
    <w:p>
      <w:pPr>
        <w:pStyle w:val="FirstParagraph"/>
      </w:pPr>
      <w:r>
        <w:t xml:space="preserve">The design has five modules on top of the POSIX interface (Figure 1). Dependencies follow Figure 2: the core depends on the parser and executor, the executor on the built-ins, and all on the utilities.</w:t>
      </w:r>
    </w:p>
    <w:p>
      <w:pPr>
        <w:pStyle w:val="CaptionedFigure"/>
      </w:pPr>
      <w:r>
        <w:drawing>
          <wp:inline>
            <wp:extent cx="5303520" cy="3915377"/>
            <wp:effectExtent b="0" l="0" r="0" t="0"/>
            <wp:docPr descr="Figure 1: System architecture" title="" id="29" name="Picture"/>
            <a:graphic>
              <a:graphicData uri="http://schemas.openxmlformats.org/drawingml/2006/picture">
                <pic:pic>
                  <pic:nvPicPr>
                    <pic:cNvPr descr="diagrams/01_architecture.png" id="30" name="Picture"/>
                    <pic:cNvPicPr>
                      <a:picLocks noChangeArrowheads="1" noChangeAspect="1"/>
                    </pic:cNvPicPr>
                  </pic:nvPicPr>
                  <pic:blipFill>
                    <a:blip r:embed="rId28"/>
                    <a:stretch>
                      <a:fillRect/>
                    </a:stretch>
                  </pic:blipFill>
                  <pic:spPr bwMode="auto">
                    <a:xfrm>
                      <a:off x="0" y="0"/>
                      <a:ext cx="5303520" cy="3915377"/>
                    </a:xfrm>
                    <a:prstGeom prst="rect">
                      <a:avLst/>
                    </a:prstGeom>
                    <a:noFill/>
                    <a:ln w="9525">
                      <a:noFill/>
                      <a:headEnd/>
                      <a:tailEnd/>
                    </a:ln>
                  </pic:spPr>
                </pic:pic>
              </a:graphicData>
            </a:graphic>
          </wp:inline>
        </w:drawing>
      </w:r>
    </w:p>
    <w:p>
      <w:pPr>
        <w:pStyle w:val="ImageCaption"/>
      </w:pPr>
      <w:r>
        <w:t xml:space="preserve">Figure 1: System architecture</w:t>
      </w:r>
    </w:p>
    <w:p>
      <w:pPr>
        <w:pStyle w:val="CaptionedFigure"/>
      </w:pPr>
      <w:r>
        <w:drawing>
          <wp:inline>
            <wp:extent cx="3566160" cy="7088593"/>
            <wp:effectExtent b="0" l="0" r="0" t="0"/>
            <wp:docPr descr="Figure 2: UML component diagram" title="" id="32" name="Picture"/>
            <a:graphic>
              <a:graphicData uri="http://schemas.openxmlformats.org/drawingml/2006/picture">
                <pic:pic>
                  <pic:nvPicPr>
                    <pic:cNvPr descr="diagrams/02_components.png" id="33" name="Picture"/>
                    <pic:cNvPicPr>
                      <a:picLocks noChangeArrowheads="1" noChangeAspect="1"/>
                    </pic:cNvPicPr>
                  </pic:nvPicPr>
                  <pic:blipFill>
                    <a:blip r:embed="rId31"/>
                    <a:stretch>
                      <a:fillRect/>
                    </a:stretch>
                  </pic:blipFill>
                  <pic:spPr bwMode="auto">
                    <a:xfrm>
                      <a:off x="0" y="0"/>
                      <a:ext cx="3566160" cy="7088593"/>
                    </a:xfrm>
                    <a:prstGeom prst="rect">
                      <a:avLst/>
                    </a:prstGeom>
                    <a:noFill/>
                    <a:ln w="9525">
                      <a:noFill/>
                      <a:headEnd/>
                      <a:tailEnd/>
                    </a:ln>
                  </pic:spPr>
                </pic:pic>
              </a:graphicData>
            </a:graphic>
          </wp:inline>
        </w:drawing>
      </w:r>
    </w:p>
    <w:p>
      <w:pPr>
        <w:pStyle w:val="ImageCaption"/>
      </w:pPr>
      <w:r>
        <w:t xml:space="preserve">Figure 2: UML component diagram</w:t>
      </w:r>
    </w:p>
    <w:bookmarkEnd w:id="34"/>
    <w:bookmarkStart w:id="44" w:name="design"/>
    <w:p>
      <w:pPr>
        <w:pStyle w:val="Heading1"/>
      </w:pPr>
      <w:r>
        <w:t xml:space="preserve">9. Design</w:t>
      </w:r>
    </w:p>
    <w:p>
      <w:pPr>
        <w:pStyle w:val="FirstParagraph"/>
      </w:pPr>
      <w:r>
        <w:rPr>
          <w:bCs/>
          <w:b/>
        </w:rPr>
        <w:t xml:space="preserve">Parsing.</w:t>
      </w:r>
      <w:r>
        <w:t xml:space="preserve"> </w:t>
      </w:r>
      <w:r>
        <w:t xml:space="preserve">One pipeline is parsed at a time so that expansion sees the effects of earlier commands on the same line. Words are built with a growable string buffer; quoting and escapes are handled character by character; syntax errors free all partial data and discard the rest of the line.</w:t>
      </w:r>
    </w:p>
    <w:p>
      <w:pPr>
        <w:pStyle w:val="BodyText"/>
      </w:pPr>
      <w:r>
        <w:rPr>
          <w:bCs/>
          <w:b/>
        </w:rPr>
        <w:t xml:space="preserve">Execution.</w:t>
      </w:r>
      <w:r>
        <w:t xml:space="preserve"> </w:t>
      </w:r>
      <w:r>
        <w:rPr>
          <w:rStyle w:val="VerbatimChar"/>
        </w:rPr>
        <w:t xml:space="preserve">execute_pipeline()</w:t>
      </w:r>
      <w:r>
        <w:t xml:space="preserve"> </w:t>
      </w:r>
      <w:r>
        <w:t xml:space="preserve">runs a lone built-in or assignment in the shell process; otherwise it forks one child per command, connects them with pipes, applies redirections, and either waits (foreground) or records a job (background). Exec failures map to statuses 127 and 126.</w:t>
      </w:r>
    </w:p>
    <w:p>
      <w:pPr>
        <w:pStyle w:val="BodyText"/>
      </w:pPr>
      <w:r>
        <w:rPr>
          <w:bCs/>
          <w:b/>
        </w:rPr>
        <w:t xml:space="preserve">Signals.</w:t>
      </w:r>
      <w:r>
        <w:t xml:space="preserve"> </w:t>
      </w:r>
      <w:r>
        <w:t xml:space="preserve">The shell’s SIGINT handler only sets a flag and is installed without</w:t>
      </w:r>
      <w:r>
        <w:t xml:space="preserve"> </w:t>
      </w:r>
      <w:r>
        <w:rPr>
          <w:rStyle w:val="VerbatimChar"/>
        </w:rPr>
        <w:t xml:space="preserve">SA_RESTART</w:t>
      </w:r>
      <w:r>
        <w:t xml:space="preserve">, so a blocked</w:t>
      </w:r>
      <w:r>
        <w:t xml:space="preserve"> </w:t>
      </w:r>
      <w:r>
        <w:rPr>
          <w:rStyle w:val="VerbatimChar"/>
        </w:rPr>
        <w:t xml:space="preserve">getline()</w:t>
      </w:r>
      <w:r>
        <w:t xml:space="preserve"> </w:t>
      </w:r>
      <w:r>
        <w:t xml:space="preserve">returns and the prompt is redrawn. Foreground children use the default action; background children ignore SIGINT. SIGTSTP and SIGQUIT are ignored because there is no job control.</w:t>
      </w:r>
    </w:p>
    <w:p>
      <w:pPr>
        <w:pStyle w:val="CaptionedFigure"/>
      </w:pPr>
      <w:r>
        <w:drawing>
          <wp:inline>
            <wp:extent cx="4572000" cy="8560230"/>
            <wp:effectExtent b="0" l="0" r="0" t="0"/>
            <wp:docPr descr="Figure 3: Shell lifecycle (high-level flowchart)" title="" id="36" name="Picture"/>
            <a:graphic>
              <a:graphicData uri="http://schemas.openxmlformats.org/drawingml/2006/picture">
                <pic:pic>
                  <pic:nvPicPr>
                    <pic:cNvPr descr="diagrams/03_lifecycle_flow.png" id="37" name="Picture"/>
                    <pic:cNvPicPr>
                      <a:picLocks noChangeArrowheads="1" noChangeAspect="1"/>
                    </pic:cNvPicPr>
                  </pic:nvPicPr>
                  <pic:blipFill>
                    <a:blip r:embed="rId35"/>
                    <a:stretch>
                      <a:fillRect/>
                    </a:stretch>
                  </pic:blipFill>
                  <pic:spPr bwMode="auto">
                    <a:xfrm>
                      <a:off x="0" y="0"/>
                      <a:ext cx="4572000" cy="8560230"/>
                    </a:xfrm>
                    <a:prstGeom prst="rect">
                      <a:avLst/>
                    </a:prstGeom>
                    <a:noFill/>
                    <a:ln w="9525">
                      <a:noFill/>
                      <a:headEnd/>
                      <a:tailEnd/>
                    </a:ln>
                  </pic:spPr>
                </pic:pic>
              </a:graphicData>
            </a:graphic>
          </wp:inline>
        </w:drawing>
      </w:r>
    </w:p>
    <w:p>
      <w:pPr>
        <w:pStyle w:val="ImageCaption"/>
      </w:pPr>
      <w:r>
        <w:t xml:space="preserve">Figure 3: Shell lifecycle (high-level flowchart)</w:t>
      </w:r>
    </w:p>
    <w:p>
      <w:pPr>
        <w:pStyle w:val="CaptionedFigure"/>
      </w:pPr>
      <w:r>
        <w:drawing>
          <wp:inline>
            <wp:extent cx="4206240" cy="3552266"/>
            <wp:effectExtent b="0" l="0" r="0" t="0"/>
            <wp:docPr descr="Figure 4: Command execution flowchart" title="" id="39" name="Picture"/>
            <a:graphic>
              <a:graphicData uri="http://schemas.openxmlformats.org/drawingml/2006/picture">
                <pic:pic>
                  <pic:nvPicPr>
                    <pic:cNvPr descr="diagrams/04_execution_flow.png" id="40" name="Picture"/>
                    <pic:cNvPicPr>
                      <a:picLocks noChangeArrowheads="1" noChangeAspect="1"/>
                    </pic:cNvPicPr>
                  </pic:nvPicPr>
                  <pic:blipFill>
                    <a:blip r:embed="rId38"/>
                    <a:stretch>
                      <a:fillRect/>
                    </a:stretch>
                  </pic:blipFill>
                  <pic:spPr bwMode="auto">
                    <a:xfrm>
                      <a:off x="0" y="0"/>
                      <a:ext cx="4206240" cy="3552266"/>
                    </a:xfrm>
                    <a:prstGeom prst="rect">
                      <a:avLst/>
                    </a:prstGeom>
                    <a:noFill/>
                    <a:ln w="9525">
                      <a:noFill/>
                      <a:headEnd/>
                      <a:tailEnd/>
                    </a:ln>
                  </pic:spPr>
                </pic:pic>
              </a:graphicData>
            </a:graphic>
          </wp:inline>
        </w:drawing>
      </w:r>
    </w:p>
    <w:p>
      <w:pPr>
        <w:pStyle w:val="ImageCaption"/>
      </w:pPr>
      <w:r>
        <w:t xml:space="preserve">Figure 4: Command execution flowchart</w:t>
      </w:r>
    </w:p>
    <w:p>
      <w:pPr>
        <w:pStyle w:val="CaptionedFigure"/>
      </w:pPr>
      <w:r>
        <w:drawing>
          <wp:inline>
            <wp:extent cx="5334000" cy="4826710"/>
            <wp:effectExtent b="0" l="0" r="0" t="0"/>
            <wp:docPr descr="Figure 6: UML sequence diagram SD-1: foreground pipeline" title="" id="42" name="Picture"/>
            <a:graphic>
              <a:graphicData uri="http://schemas.openxmlformats.org/drawingml/2006/picture">
                <pic:pic>
                  <pic:nvPicPr>
                    <pic:cNvPr descr="diagrams/06_sequence.png" id="43" name="Picture"/>
                    <pic:cNvPicPr>
                      <a:picLocks noChangeArrowheads="1" noChangeAspect="1"/>
                    </pic:cNvPicPr>
                  </pic:nvPicPr>
                  <pic:blipFill>
                    <a:blip r:embed="rId41"/>
                    <a:stretch>
                      <a:fillRect/>
                    </a:stretch>
                  </pic:blipFill>
                  <pic:spPr bwMode="auto">
                    <a:xfrm>
                      <a:off x="0" y="0"/>
                      <a:ext cx="5334000" cy="4826710"/>
                    </a:xfrm>
                    <a:prstGeom prst="rect">
                      <a:avLst/>
                    </a:prstGeom>
                    <a:noFill/>
                    <a:ln w="9525">
                      <a:noFill/>
                      <a:headEnd/>
                      <a:tailEnd/>
                    </a:ln>
                  </pic:spPr>
                </pic:pic>
              </a:graphicData>
            </a:graphic>
          </wp:inline>
        </w:drawing>
      </w:r>
    </w:p>
    <w:p>
      <w:pPr>
        <w:pStyle w:val="ImageCaption"/>
      </w:pPr>
      <w:r>
        <w:t xml:space="preserve">Figure 6: UML sequence diagram SD-1: foreground pipeline</w:t>
      </w:r>
    </w:p>
    <w:bookmarkEnd w:id="44"/>
    <w:bookmarkStart w:id="45" w:name="implementation"/>
    <w:p>
      <w:pPr>
        <w:pStyle w:val="Heading1"/>
      </w:pPr>
      <w:r>
        <w:t xml:space="preserve">10. Implementation</w:t>
      </w:r>
    </w:p>
    <w:p>
      <w:pPr>
        <w:pStyle w:val="FirstParagraph"/>
      </w:pPr>
      <w:r>
        <w:t xml:space="preserve">The program consists of about 1433 lines of C in 6 source files and 5 headers, built with a Makefile using</w:t>
      </w:r>
      <w:r>
        <w:t xml:space="preserve"> </w:t>
      </w:r>
      <w:r>
        <w:rPr>
          <w:rStyle w:val="VerbatimChar"/>
        </w:rPr>
        <w:t xml:space="preserve">-std=c11 -Wall -Wextra -Wpedantic</w:t>
      </w:r>
      <w:r>
        <w:t xml:space="preserve"> </w:t>
      </w:r>
      <w:r>
        <w:t xml:space="preserve">(no warnings). Key elements:</w:t>
      </w:r>
      <w:r>
        <w:t xml:space="preserve"> </w:t>
      </w:r>
      <w:r>
        <w:rPr>
          <w:rStyle w:val="VerbatimChar"/>
        </w:rPr>
        <w:t xml:space="preserve">parse_next_pipeline()</w:t>
      </w:r>
      <w:r>
        <w:t xml:space="preserve"> </w:t>
      </w:r>
      <w:r>
        <w:t xml:space="preserve">and</w:t>
      </w:r>
      <w:r>
        <w:t xml:space="preserve"> </w:t>
      </w:r>
      <w:r>
        <w:rPr>
          <w:rStyle w:val="VerbatimChar"/>
        </w:rPr>
        <w:t xml:space="preserve">read_word()</w:t>
      </w:r>
      <w:r>
        <w:t xml:space="preserve"> </w:t>
      </w:r>
      <w:r>
        <w:t xml:space="preserve">(parser.c);</w:t>
      </w:r>
      <w:r>
        <w:t xml:space="preserve"> </w:t>
      </w:r>
      <w:r>
        <w:rPr>
          <w:rStyle w:val="VerbatimChar"/>
        </w:rPr>
        <w:t xml:space="preserve">execute_pipeline()</w:t>
      </w:r>
      <w:r>
        <w:t xml:space="preserve">,</w:t>
      </w:r>
      <w:r>
        <w:t xml:space="preserve"> </w:t>
      </w:r>
      <w:r>
        <w:rPr>
          <w:rStyle w:val="VerbatimChar"/>
        </w:rPr>
        <w:t xml:space="preserve">exec_child()</w:t>
      </w:r>
      <w:r>
        <w:t xml:space="preserve">,</w:t>
      </w:r>
      <w:r>
        <w:t xml:space="preserve"> </w:t>
      </w:r>
      <w:r>
        <w:rPr>
          <w:rStyle w:val="VerbatimChar"/>
        </w:rPr>
        <w:t xml:space="preserve">apply_redirections()</w:t>
      </w:r>
      <w:r>
        <w:t xml:space="preserve">,</w:t>
      </w:r>
      <w:r>
        <w:t xml:space="preserve"> </w:t>
      </w:r>
      <w:r>
        <w:rPr>
          <w:rStyle w:val="VerbatimChar"/>
        </w:rPr>
        <w:t xml:space="preserve">wait_foreground()</w:t>
      </w:r>
      <w:r>
        <w:t xml:space="preserve">,</w:t>
      </w:r>
      <w:r>
        <w:t xml:space="preserve"> </w:t>
      </w:r>
      <w:r>
        <w:rPr>
          <w:rStyle w:val="VerbatimChar"/>
        </w:rPr>
        <w:t xml:space="preserve">jobs_reap()</w:t>
      </w:r>
      <w:r>
        <w:t xml:space="preserve"> </w:t>
      </w:r>
      <w:r>
        <w:t xml:space="preserve">(executor.c); a table-driven built-in dispatcher (builtins.c);</w:t>
      </w:r>
      <w:r>
        <w:t xml:space="preserve"> </w:t>
      </w:r>
      <w:r>
        <w:rPr>
          <w:rStyle w:val="VerbatimChar"/>
        </w:rPr>
        <w:t xml:space="preserve">shell_run_stream()</w:t>
      </w:r>
      <w:r>
        <w:t xml:space="preserve"> </w:t>
      </w:r>
      <w:r>
        <w:t xml:space="preserve">and</w:t>
      </w:r>
      <w:r>
        <w:t xml:space="preserve"> </w:t>
      </w:r>
      <w:r>
        <w:rPr>
          <w:rStyle w:val="VerbatimChar"/>
        </w:rPr>
        <w:t xml:space="preserve">shell_setup_signals()</w:t>
      </w:r>
      <w:r>
        <w:t xml:space="preserve"> </w:t>
      </w:r>
      <w:r>
        <w:t xml:space="preserve">(shell.c). Full source is in</w:t>
      </w:r>
      <w:r>
        <w:t xml:space="preserve"> </w:t>
      </w:r>
      <w:r>
        <w:rPr>
          <w:rStyle w:val="VerbatimChar"/>
        </w:rPr>
        <w:t xml:space="preserve">src/</w:t>
      </w:r>
      <w:r>
        <w:t xml:space="preserve">.</w:t>
      </w:r>
    </w:p>
    <w:bookmarkEnd w:id="45"/>
    <w:bookmarkStart w:id="46" w:name="functional-features"/>
    <w:p>
      <w:pPr>
        <w:pStyle w:val="Heading1"/>
      </w:pPr>
      <w:r>
        <w:t xml:space="preserve">11. Functional features</w:t>
      </w:r>
    </w:p>
    <w:p>
      <w:pPr>
        <w:pStyle w:val="FirstParagraph"/>
      </w:pPr>
      <w:r>
        <w:t xml:space="preserve">Each feature is demonstrated in</w:t>
      </w:r>
      <w:r>
        <w:t xml:space="preserve"> </w:t>
      </w:r>
      <w:r>
        <w:rPr>
          <w:rStyle w:val="VerbatimChar"/>
        </w:rPr>
        <w:t xml:space="preserve">docs/DEMO_SCRIPT.md</w:t>
      </w:r>
      <w:r>
        <w:t xml:space="preserve">: prompt and input modes; quoting and expansion; external commands and PATH; cd/pwd/exit/help/export/unset/env;</w:t>
      </w:r>
      <w:r>
        <w:t xml:space="preserve"> </w:t>
      </w:r>
      <w:r>
        <w:rPr>
          <w:rStyle w:val="VerbatimChar"/>
        </w:rPr>
        <w:t xml:space="preserve">&gt;</w:t>
      </w:r>
      <w:r>
        <w:t xml:space="preserve">,</w:t>
      </w:r>
      <w:r>
        <w:t xml:space="preserve"> </w:t>
      </w:r>
      <w:r>
        <w:rPr>
          <w:rStyle w:val="VerbatimChar"/>
        </w:rPr>
        <w:t xml:space="preserve">&gt;&gt;</w:t>
      </w:r>
      <w:r>
        <w:t xml:space="preserve">,</w:t>
      </w:r>
      <w:r>
        <w:t xml:space="preserve"> </w:t>
      </w:r>
      <w:r>
        <w:rPr>
          <w:rStyle w:val="VerbatimChar"/>
        </w:rPr>
        <w:t xml:space="preserve">&lt;</w:t>
      </w:r>
      <w:r>
        <w:t xml:space="preserve">; pipes;</w:t>
      </w:r>
      <w:r>
        <w:t xml:space="preserve"> </w:t>
      </w:r>
      <w:r>
        <w:rPr>
          <w:rStyle w:val="VerbatimChar"/>
        </w:rPr>
        <w:t xml:space="preserve">;</w:t>
      </w:r>
      <w:r>
        <w:t xml:space="preserve">;</w:t>
      </w:r>
      <w:r>
        <w:t xml:space="preserve"> </w:t>
      </w:r>
      <w:r>
        <w:rPr>
          <w:rStyle w:val="VerbatimChar"/>
        </w:rPr>
        <w:t xml:space="preserve">&amp;</w:t>
      </w:r>
      <w:r>
        <w:t xml:space="preserve">; Ctrl+C and Ctrl+D; error messages and exit codes.</w:t>
      </w:r>
    </w:p>
    <w:bookmarkEnd w:id="46"/>
    <w:bookmarkStart w:id="47" w:name="team-ownership"/>
    <w:p>
      <w:pPr>
        <w:pStyle w:val="Heading1"/>
      </w:pPr>
      <w:r>
        <w:t xml:space="preserve">12. Team ownership</w:t>
      </w:r>
    </w:p>
    <w:tbl>
      <w:tblPr>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2640"/>
        <w:gridCol w:w="2640"/>
        <w:gridCol w:w="2640"/>
      </w:tblGrid>
      <w:tr>
        <w:trPr>
          <w:tblHeader w:val="true"/>
        </w:trPr>
        <w:tc>
          <w:tcPr>
            <w:shd w:val="clear" w:color="auto" w:fill="D9E2F3"/>
          </w:tcPr>
          <w:p>
            <w:pPr>
              <w:pStyle w:val="Compact"/>
              <w:spacing w:after="20" w:before="20"/>
              <w:jc w:val="left"/>
            </w:pPr>
            <w:r>
              <w:rPr>
                <w:b/>
                <w:sz w:val="19"/>
              </w:rPr>
              <w:t xml:space="preserve">Member</w:t>
            </w:r>
          </w:p>
        </w:tc>
        <w:tc>
          <w:tcPr>
            <w:shd w:val="clear" w:color="auto" w:fill="D9E2F3"/>
          </w:tcPr>
          <w:p>
            <w:pPr>
              <w:pStyle w:val="Compact"/>
              <w:spacing w:after="20" w:before="20"/>
              <w:jc w:val="left"/>
            </w:pPr>
            <w:r>
              <w:rPr>
                <w:b/>
                <w:sz w:val="19"/>
              </w:rPr>
              <w:t xml:space="preserve">Primary Responsibility</w:t>
            </w:r>
          </w:p>
        </w:tc>
        <w:tc>
          <w:tcPr>
            <w:shd w:val="clear" w:color="auto" w:fill="D9E2F3"/>
          </w:tcPr>
          <w:p>
            <w:pPr>
              <w:pStyle w:val="Compact"/>
              <w:spacing w:after="20" w:before="20"/>
              <w:jc w:val="left"/>
            </w:pPr>
            <w:r>
              <w:rPr>
                <w:b/>
                <w:sz w:val="19"/>
              </w:rPr>
              <w:t xml:space="preserve">Functional Features</w:t>
            </w:r>
          </w:p>
        </w:tc>
      </w:tr>
      <w:tr>
        <w:tc>
          <w:tcPr/>
          <w:p>
            <w:pPr>
              <w:pStyle w:val="Compact"/>
              <w:spacing w:after="20" w:before="20"/>
              <w:jc w:val="left"/>
            </w:pPr>
            <w:r>
              <w:rPr>
                <w:sz w:val="19"/>
              </w:rPr>
              <w:t xml:space="preserve">Member 1</w:t>
            </w:r>
          </w:p>
        </w:tc>
        <w:tc>
          <w:tcPr/>
          <w:p>
            <w:pPr>
              <w:pStyle w:val="Compact"/>
              <w:spacing w:after="20" w:before="20"/>
              <w:jc w:val="left"/>
            </w:pPr>
            <w:r>
              <w:rPr>
                <w:sz w:val="19"/>
              </w:rPr>
              <w:t xml:space="preserve">Shell core and process execution</w:t>
            </w:r>
          </w:p>
        </w:tc>
        <w:tc>
          <w:tcPr/>
          <w:p>
            <w:pPr>
              <w:pStyle w:val="Compact"/>
              <w:spacing w:after="20" w:before="20"/>
              <w:jc w:val="left"/>
            </w:pPr>
            <w:r>
              <w:rPr>
                <w:sz w:val="19"/>
              </w:rPr>
              <w:t xml:space="preserve">FR-01, FR-02, FR-05, FR-06, FR-19, FR-22</w:t>
            </w:r>
          </w:p>
        </w:tc>
      </w:tr>
      <w:tr>
        <w:tc>
          <w:tcPr/>
          <w:p>
            <w:pPr>
              <w:pStyle w:val="Compact"/>
              <w:spacing w:after="20" w:before="20"/>
              <w:jc w:val="left"/>
            </w:pPr>
            <w:r>
              <w:rPr>
                <w:sz w:val="19"/>
              </w:rPr>
              <w:t xml:space="preserve">Member 2</w:t>
            </w:r>
          </w:p>
        </w:tc>
        <w:tc>
          <w:tcPr/>
          <w:p>
            <w:pPr>
              <w:pStyle w:val="Compact"/>
              <w:spacing w:after="20" w:before="20"/>
              <w:jc w:val="left"/>
            </w:pPr>
            <w:r>
              <w:rPr>
                <w:sz w:val="19"/>
              </w:rPr>
              <w:t xml:space="preserve">Parser, expansion, built-ins and environment</w:t>
            </w:r>
          </w:p>
        </w:tc>
        <w:tc>
          <w:tcPr/>
          <w:p>
            <w:pPr>
              <w:pStyle w:val="Compact"/>
              <w:spacing w:after="20" w:before="20"/>
              <w:jc w:val="left"/>
            </w:pPr>
            <w:r>
              <w:rPr>
                <w:sz w:val="19"/>
              </w:rPr>
              <w:t xml:space="preserve">FR-03, FR-08, FR-09, FR-12, FR-13</w:t>
            </w:r>
          </w:p>
        </w:tc>
      </w:tr>
      <w:tr>
        <w:tc>
          <w:tcPr/>
          <w:p>
            <w:pPr>
              <w:pStyle w:val="Compact"/>
              <w:spacing w:after="20" w:before="20"/>
              <w:jc w:val="left"/>
            </w:pPr>
            <w:r>
              <w:rPr>
                <w:sz w:val="19"/>
              </w:rPr>
              <w:t xml:space="preserve">Member 3</w:t>
            </w:r>
          </w:p>
        </w:tc>
        <w:tc>
          <w:tcPr/>
          <w:p>
            <w:pPr>
              <w:pStyle w:val="Compact"/>
              <w:spacing w:after="20" w:before="20"/>
              <w:jc w:val="left"/>
            </w:pPr>
            <w:r>
              <w:rPr>
                <w:sz w:val="19"/>
              </w:rPr>
              <w:t xml:space="preserve">Redirection, pipes, background jobs and signals</w:t>
            </w:r>
          </w:p>
        </w:tc>
        <w:tc>
          <w:tcPr/>
          <w:p>
            <w:pPr>
              <w:pStyle w:val="Compact"/>
              <w:spacing w:after="20" w:before="20"/>
              <w:jc w:val="left"/>
            </w:pPr>
            <w:r>
              <w:rPr>
                <w:sz w:val="19"/>
              </w:rPr>
              <w:t xml:space="preserve">FR-14, FR-15, FR-16, FR-18, FR-20, FR-21</w:t>
            </w:r>
          </w:p>
        </w:tc>
      </w:tr>
      <w:tr>
        <w:tc>
          <w:tcPr/>
          <w:p>
            <w:pPr>
              <w:pStyle w:val="Compact"/>
              <w:spacing w:after="20" w:before="20"/>
              <w:jc w:val="left"/>
            </w:pPr>
            <w:r>
              <w:rPr>
                <w:sz w:val="19"/>
              </w:rPr>
              <w:t xml:space="preserve">Member 4</w:t>
            </w:r>
          </w:p>
        </w:tc>
        <w:tc>
          <w:tcPr/>
          <w:p>
            <w:pPr>
              <w:pStyle w:val="Compact"/>
              <w:spacing w:after="20" w:before="20"/>
              <w:jc w:val="left"/>
            </w:pPr>
            <w:r>
              <w:rPr>
                <w:sz w:val="19"/>
              </w:rPr>
              <w:t xml:space="preserve">Error handling, exit/help built-ins, integration and verification</w:t>
            </w:r>
          </w:p>
        </w:tc>
        <w:tc>
          <w:tcPr/>
          <w:p>
            <w:pPr>
              <w:pStyle w:val="Compact"/>
              <w:spacing w:after="20" w:before="20"/>
              <w:jc w:val="left"/>
            </w:pPr>
            <w:r>
              <w:rPr>
                <w:sz w:val="19"/>
              </w:rPr>
              <w:t xml:space="preserve">FR-04, FR-07, FR-10, FR-11, FR-17</w:t>
            </w:r>
          </w:p>
        </w:tc>
      </w:tr>
    </w:tbl>
    <w:bookmarkEnd w:id="47"/>
    <w:bookmarkStart w:id="48" w:name="testing"/>
    <w:p>
      <w:pPr>
        <w:pStyle w:val="Heading1"/>
      </w:pPr>
      <w:r>
        <w:t xml:space="preserve">13. Testing</w:t>
      </w:r>
    </w:p>
    <w:p>
      <w:pPr>
        <w:pStyle w:val="FirstParagraph"/>
      </w:pPr>
      <w:r>
        <w:t xml:space="preserve">Strategy: unit tests of the parser and helpers; functional and integration tests through</w:t>
      </w:r>
      <w:r>
        <w:t xml:space="preserve"> </w:t>
      </w:r>
      <w:r>
        <w:rPr>
          <w:rStyle w:val="VerbatimChar"/>
        </w:rPr>
        <w:t xml:space="preserve">mysh -c</w:t>
      </w:r>
      <w:r>
        <w:t xml:space="preserve">, script and stdin; negative tests; system tests through a pseudo-terminal and the demonstration script; a sanitizer build. Every functional requirement is traced to at least one executed test in the RTM.</w:t>
      </w:r>
    </w:p>
    <w:tbl>
      <w:tblPr>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584"/>
        <w:gridCol w:w="1584"/>
        <w:gridCol w:w="1584"/>
        <w:gridCol w:w="1584"/>
        <w:gridCol w:w="1584"/>
      </w:tblGrid>
      <w:tr>
        <w:trPr>
          <w:tblHeader w:val="true"/>
        </w:trPr>
        <w:tc>
          <w:tcPr>
            <w:shd w:val="clear" w:color="auto" w:fill="D9E2F3"/>
          </w:tcPr>
          <w:p>
            <w:pPr>
              <w:pStyle w:val="Compact"/>
              <w:spacing w:after="20" w:before="20"/>
              <w:jc w:val="left"/>
            </w:pPr>
            <w:r>
              <w:rPr>
                <w:b/>
                <w:sz w:val="17"/>
              </w:rPr>
              <w:t xml:space="preserve">Level</w:t>
            </w:r>
          </w:p>
        </w:tc>
        <w:tc>
          <w:tcPr>
            <w:shd w:val="clear" w:color="auto" w:fill="D9E2F3"/>
          </w:tcPr>
          <w:p>
            <w:pPr>
              <w:pStyle w:val="Compact"/>
              <w:spacing w:after="20" w:before="20"/>
              <w:jc w:val="left"/>
            </w:pPr>
            <w:r>
              <w:rPr>
                <w:b/>
                <w:sz w:val="17"/>
              </w:rPr>
              <w:t xml:space="preserve">Tests designed</w:t>
            </w:r>
          </w:p>
        </w:tc>
        <w:tc>
          <w:tcPr>
            <w:shd w:val="clear" w:color="auto" w:fill="D9E2F3"/>
          </w:tcPr>
          <w:p>
            <w:pPr>
              <w:pStyle w:val="Compact"/>
              <w:spacing w:after="20" w:before="20"/>
              <w:jc w:val="left"/>
            </w:pPr>
            <w:r>
              <w:rPr>
                <w:b/>
                <w:sz w:val="17"/>
              </w:rPr>
              <w:t xml:space="preserve">Tests executed</w:t>
            </w:r>
          </w:p>
        </w:tc>
        <w:tc>
          <w:tcPr>
            <w:shd w:val="clear" w:color="auto" w:fill="D9E2F3"/>
          </w:tcPr>
          <w:p>
            <w:pPr>
              <w:pStyle w:val="Compact"/>
              <w:spacing w:after="20" w:before="20"/>
              <w:jc w:val="left"/>
            </w:pPr>
            <w:r>
              <w:rPr>
                <w:b/>
                <w:sz w:val="17"/>
              </w:rPr>
              <w:t xml:space="preserve">Passed</w:t>
            </w:r>
          </w:p>
        </w:tc>
        <w:tc>
          <w:tcPr>
            <w:shd w:val="clear" w:color="auto" w:fill="D9E2F3"/>
          </w:tcPr>
          <w:p>
            <w:pPr>
              <w:pStyle w:val="Compact"/>
              <w:spacing w:after="20" w:before="20"/>
              <w:jc w:val="left"/>
            </w:pPr>
            <w:r>
              <w:rPr>
                <w:b/>
                <w:sz w:val="17"/>
              </w:rPr>
              <w:t xml:space="preserve">Failed</w:t>
            </w:r>
          </w:p>
        </w:tc>
      </w:tr>
      <w:tr>
        <w:tc>
          <w:tcPr/>
          <w:p>
            <w:pPr>
              <w:pStyle w:val="Compact"/>
              <w:spacing w:after="20" w:before="20"/>
              <w:jc w:val="left"/>
            </w:pPr>
            <w:r>
              <w:rPr>
                <w:sz w:val="17"/>
              </w:rPr>
              <w:t xml:space="preserve">Unit</w:t>
            </w:r>
          </w:p>
        </w:tc>
        <w:tc>
          <w:tcPr/>
          <w:p>
            <w:pPr>
              <w:pStyle w:val="Compact"/>
              <w:spacing w:after="20" w:before="20"/>
              <w:jc w:val="left"/>
            </w:pPr>
            <w:r>
              <w:rPr>
                <w:sz w:val="17"/>
              </w:rPr>
              <w:t xml:space="preserve">24</w:t>
            </w:r>
          </w:p>
        </w:tc>
        <w:tc>
          <w:tcPr/>
          <w:p>
            <w:pPr>
              <w:pStyle w:val="Compact"/>
              <w:spacing w:after="20" w:before="20"/>
              <w:jc w:val="left"/>
            </w:pPr>
            <w:r>
              <w:rPr>
                <w:sz w:val="17"/>
              </w:rPr>
              <w:t xml:space="preserve">24</w:t>
            </w:r>
          </w:p>
        </w:tc>
        <w:tc>
          <w:tcPr/>
          <w:p>
            <w:pPr>
              <w:pStyle w:val="Compact"/>
              <w:spacing w:after="20" w:before="20"/>
              <w:jc w:val="left"/>
            </w:pPr>
            <w:r>
              <w:rPr>
                <w:sz w:val="17"/>
              </w:rPr>
              <w:t xml:space="preserve">24</w:t>
            </w:r>
          </w:p>
        </w:tc>
        <w:tc>
          <w:tcPr/>
          <w:p>
            <w:pPr>
              <w:pStyle w:val="Compact"/>
              <w:spacing w:after="20" w:before="20"/>
              <w:jc w:val="left"/>
            </w:pPr>
            <w:r>
              <w:rPr>
                <w:sz w:val="17"/>
              </w:rPr>
              <w:t xml:space="preserve">0</w:t>
            </w:r>
          </w:p>
        </w:tc>
      </w:tr>
      <w:tr>
        <w:tc>
          <w:tcPr/>
          <w:p>
            <w:pPr>
              <w:pStyle w:val="Compact"/>
              <w:spacing w:after="20" w:before="20"/>
              <w:jc w:val="left"/>
            </w:pPr>
            <w:r>
              <w:rPr>
                <w:sz w:val="17"/>
              </w:rPr>
              <w:t xml:space="preserve">Functional / integration / negative / robustness (incl. ST-10 demo)</w:t>
            </w:r>
          </w:p>
        </w:tc>
        <w:tc>
          <w:tcPr/>
          <w:p>
            <w:pPr>
              <w:pStyle w:val="Compact"/>
              <w:spacing w:after="20" w:before="20"/>
              <w:jc w:val="left"/>
            </w:pPr>
            <w:r>
              <w:rPr>
                <w:sz w:val="17"/>
              </w:rPr>
              <w:t xml:space="preserve">74</w:t>
            </w:r>
          </w:p>
        </w:tc>
        <w:tc>
          <w:tcPr/>
          <w:p>
            <w:pPr>
              <w:pStyle w:val="Compact"/>
              <w:spacing w:after="20" w:before="20"/>
              <w:jc w:val="left"/>
            </w:pPr>
            <w:r>
              <w:rPr>
                <w:sz w:val="17"/>
              </w:rPr>
              <w:t xml:space="preserve">74</w:t>
            </w:r>
          </w:p>
        </w:tc>
        <w:tc>
          <w:tcPr/>
          <w:p>
            <w:pPr>
              <w:pStyle w:val="Compact"/>
              <w:spacing w:after="20" w:before="20"/>
              <w:jc w:val="left"/>
            </w:pPr>
            <w:r>
              <w:rPr>
                <w:sz w:val="17"/>
              </w:rPr>
              <w:t xml:space="preserve">74</w:t>
            </w:r>
          </w:p>
        </w:tc>
        <w:tc>
          <w:tcPr/>
          <w:p>
            <w:pPr>
              <w:pStyle w:val="Compact"/>
              <w:spacing w:after="20" w:before="20"/>
              <w:jc w:val="left"/>
            </w:pPr>
            <w:r>
              <w:rPr>
                <w:sz w:val="17"/>
              </w:rPr>
              <w:t xml:space="preserve">0</w:t>
            </w:r>
          </w:p>
        </w:tc>
      </w:tr>
      <w:tr>
        <w:tc>
          <w:tcPr/>
          <w:p>
            <w:pPr>
              <w:pStyle w:val="Compact"/>
              <w:spacing w:after="20" w:before="20"/>
              <w:jc w:val="left"/>
            </w:pPr>
            <w:r>
              <w:rPr>
                <w:sz w:val="17"/>
              </w:rPr>
              <w:t xml:space="preserve">Security (SC, incl. fuzzing)</w:t>
            </w:r>
          </w:p>
        </w:tc>
        <w:tc>
          <w:tcPr/>
          <w:p>
            <w:pPr>
              <w:pStyle w:val="Compact"/>
              <w:spacing w:after="20" w:before="20"/>
              <w:jc w:val="left"/>
            </w:pPr>
            <w:r>
              <w:rPr>
                <w:sz w:val="17"/>
              </w:rPr>
              <w:t xml:space="preserve">13</w:t>
            </w:r>
          </w:p>
        </w:tc>
        <w:tc>
          <w:tcPr/>
          <w:p>
            <w:pPr>
              <w:pStyle w:val="Compact"/>
              <w:spacing w:after="20" w:before="20"/>
              <w:jc w:val="left"/>
            </w:pPr>
            <w:r>
              <w:rPr>
                <w:sz w:val="17"/>
              </w:rPr>
              <w:t xml:space="preserve">13</w:t>
            </w:r>
          </w:p>
        </w:tc>
        <w:tc>
          <w:tcPr/>
          <w:p>
            <w:pPr>
              <w:pStyle w:val="Compact"/>
              <w:spacing w:after="20" w:before="20"/>
              <w:jc w:val="left"/>
            </w:pPr>
            <w:r>
              <w:rPr>
                <w:sz w:val="17"/>
              </w:rPr>
              <w:t xml:space="preserve">13</w:t>
            </w:r>
          </w:p>
        </w:tc>
        <w:tc>
          <w:tcPr/>
          <w:p>
            <w:pPr>
              <w:pStyle w:val="Compact"/>
              <w:spacing w:after="20" w:before="20"/>
              <w:jc w:val="left"/>
            </w:pPr>
            <w:r>
              <w:rPr>
                <w:sz w:val="17"/>
              </w:rPr>
              <w:t xml:space="preserve">0</w:t>
            </w:r>
          </w:p>
        </w:tc>
      </w:tr>
      <w:tr>
        <w:tc>
          <w:tcPr/>
          <w:p>
            <w:pPr>
              <w:pStyle w:val="Compact"/>
              <w:spacing w:after="20" w:before="20"/>
              <w:jc w:val="left"/>
            </w:pPr>
            <w:r>
              <w:rPr>
                <w:sz w:val="17"/>
              </w:rPr>
              <w:t xml:space="preserve">Non-functional (NF)</w:t>
            </w:r>
          </w:p>
        </w:tc>
        <w:tc>
          <w:tcPr/>
          <w:p>
            <w:pPr>
              <w:pStyle w:val="Compact"/>
              <w:spacing w:after="20" w:before="20"/>
              <w:jc w:val="left"/>
            </w:pPr>
            <w:r>
              <w:rPr>
                <w:sz w:val="17"/>
              </w:rPr>
              <w:t xml:space="preserve">8</w:t>
            </w:r>
          </w:p>
        </w:tc>
        <w:tc>
          <w:tcPr/>
          <w:p>
            <w:pPr>
              <w:pStyle w:val="Compact"/>
              <w:spacing w:after="20" w:before="20"/>
              <w:jc w:val="left"/>
            </w:pPr>
            <w:r>
              <w:rPr>
                <w:sz w:val="17"/>
              </w:rPr>
              <w:t xml:space="preserve">8</w:t>
            </w:r>
          </w:p>
        </w:tc>
        <w:tc>
          <w:tcPr/>
          <w:p>
            <w:pPr>
              <w:pStyle w:val="Compact"/>
              <w:spacing w:after="20" w:before="20"/>
              <w:jc w:val="left"/>
            </w:pPr>
            <w:r>
              <w:rPr>
                <w:sz w:val="17"/>
              </w:rPr>
              <w:t xml:space="preserve">8</w:t>
            </w:r>
          </w:p>
        </w:tc>
        <w:tc>
          <w:tcPr/>
          <w:p>
            <w:pPr>
              <w:pStyle w:val="Compact"/>
              <w:spacing w:after="20" w:before="20"/>
              <w:jc w:val="left"/>
            </w:pPr>
            <w:r>
              <w:rPr>
                <w:sz w:val="17"/>
              </w:rPr>
              <w:t xml:space="preserve">0</w:t>
            </w:r>
          </w:p>
        </w:tc>
      </w:tr>
      <w:tr>
        <w:tc>
          <w:tcPr/>
          <w:p>
            <w:pPr>
              <w:pStyle w:val="Compact"/>
              <w:spacing w:after="20" w:before="20"/>
              <w:jc w:val="left"/>
            </w:pPr>
            <w:r>
              <w:rPr>
                <w:sz w:val="17"/>
              </w:rPr>
              <w:t xml:space="preserve">System (pty)</w:t>
            </w:r>
          </w:p>
        </w:tc>
        <w:tc>
          <w:tcPr/>
          <w:p>
            <w:pPr>
              <w:pStyle w:val="Compact"/>
              <w:spacing w:after="20" w:before="20"/>
              <w:jc w:val="left"/>
            </w:pPr>
            <w:r>
              <w:rPr>
                <w:sz w:val="17"/>
              </w:rPr>
              <w:t xml:space="preserve">10</w:t>
            </w:r>
          </w:p>
        </w:tc>
        <w:tc>
          <w:tcPr/>
          <w:p>
            <w:pPr>
              <w:pStyle w:val="Compact"/>
              <w:spacing w:after="20" w:before="20"/>
              <w:jc w:val="left"/>
            </w:pPr>
            <w:r>
              <w:rPr>
                <w:sz w:val="17"/>
              </w:rPr>
              <w:t xml:space="preserve">10</w:t>
            </w:r>
          </w:p>
        </w:tc>
        <w:tc>
          <w:tcPr/>
          <w:p>
            <w:pPr>
              <w:pStyle w:val="Compact"/>
              <w:spacing w:after="20" w:before="20"/>
              <w:jc w:val="left"/>
            </w:pPr>
            <w:r>
              <w:rPr>
                <w:sz w:val="17"/>
              </w:rPr>
              <w:t xml:space="preserve">10</w:t>
            </w:r>
          </w:p>
        </w:tc>
        <w:tc>
          <w:tcPr/>
          <w:p>
            <w:pPr>
              <w:pStyle w:val="Compact"/>
              <w:spacing w:after="20" w:before="20"/>
              <w:jc w:val="left"/>
            </w:pPr>
            <w:r>
              <w:rPr>
                <w:sz w:val="17"/>
              </w:rPr>
              <w:t xml:space="preserve">0</w:t>
            </w:r>
          </w:p>
        </w:tc>
      </w:tr>
      <w:tr>
        <w:tc>
          <w:tcPr/>
          <w:p>
            <w:pPr>
              <w:pStyle w:val="Compact"/>
              <w:spacing w:after="20" w:before="20"/>
              <w:jc w:val="left"/>
            </w:pPr>
            <w:r>
              <w:rPr>
                <w:sz w:val="17"/>
              </w:rPr>
              <w:t xml:space="preserve">Sanitizer build (ST-12)</w:t>
            </w:r>
          </w:p>
        </w:tc>
        <w:tc>
          <w:tcPr/>
          <w:p>
            <w:pPr>
              <w:pStyle w:val="Compact"/>
              <w:spacing w:after="20" w:before="20"/>
              <w:jc w:val="left"/>
            </w:pPr>
            <w:r>
              <w:rPr>
                <w:sz w:val="17"/>
              </w:rPr>
              <w:t xml:space="preserve">1</w:t>
            </w:r>
          </w:p>
        </w:tc>
        <w:tc>
          <w:tcPr/>
          <w:p>
            <w:pPr>
              <w:pStyle w:val="Compact"/>
              <w:spacing w:after="20" w:before="20"/>
              <w:jc w:val="left"/>
            </w:pPr>
            <w:r>
              <w:rPr>
                <w:sz w:val="17"/>
              </w:rPr>
              <w:t xml:space="preserve">1</w:t>
            </w:r>
          </w:p>
        </w:tc>
        <w:tc>
          <w:tcPr/>
          <w:p>
            <w:pPr>
              <w:pStyle w:val="Compact"/>
              <w:spacing w:after="20" w:before="20"/>
              <w:jc w:val="left"/>
            </w:pPr>
            <w:r>
              <w:rPr>
                <w:sz w:val="17"/>
              </w:rPr>
              <w:t xml:space="preserve">1</w:t>
            </w:r>
          </w:p>
        </w:tc>
        <w:tc>
          <w:tcPr/>
          <w:p>
            <w:pPr>
              <w:pStyle w:val="Compact"/>
              <w:spacing w:after="20" w:before="20"/>
              <w:jc w:val="left"/>
            </w:pPr>
            <w:r>
              <w:rPr>
                <w:sz w:val="17"/>
              </w:rPr>
              <w:t xml:space="preserve">0</w:t>
            </w:r>
          </w:p>
        </w:tc>
      </w:tr>
    </w:tbl>
    <w:p>
      <w:pPr>
        <w:pStyle w:val="BodyText"/>
      </w:pPr>
      <w:r>
        <w:t xml:space="preserve">Note: ST-10 (demo script) is counted with the functional harness because it runs from</w:t>
      </w:r>
      <w:r>
        <w:t xml:space="preserve"> </w:t>
      </w:r>
      <w:r>
        <w:rPr>
          <w:rStyle w:val="VerbatimChar"/>
        </w:rPr>
        <w:t xml:space="preserve">run_tests.sh</w:t>
      </w:r>
      <w:r>
        <w:t xml:space="preserve">; the 24+ unit, security, non-functional and system tests are described in</w:t>
      </w:r>
      <w:r>
        <w:t xml:space="preserve"> </w:t>
      </w:r>
      <w:r>
        <w:rPr>
          <w:rStyle w:val="VerbatimChar"/>
        </w:rPr>
        <w:t xml:space="preserve">docs/STP.docx</w:t>
      </w:r>
      <w:r>
        <w:t xml:space="preserve">.</w:t>
      </w:r>
    </w:p>
    <w:bookmarkEnd w:id="48"/>
    <w:bookmarkStart w:id="49" w:name="results"/>
    <w:p>
      <w:pPr>
        <w:pStyle w:val="Heading1"/>
      </w:pPr>
      <w:r>
        <w:t xml:space="preserve">14. Results</w:t>
      </w:r>
    </w:p>
    <w:p>
      <w:pPr>
        <w:pStyle w:val="FirstParagraph"/>
      </w:pPr>
      <w:r>
        <w:t xml:space="preserve">All 130 designed tests were executed on 2026-10-03 (Ubuntu 24.04.4 LTS, Linux 6.18, gcc 13.3.0): 130 passed, 0 failed. The sanitizer build reported no errors on the unit and functional suites. Two early failures (TC-36, TC-74) were caused by the test harness capturing output with</w:t>
      </w:r>
      <w:r>
        <w:t xml:space="preserve"> </w:t>
      </w:r>
      <w:r>
        <w:rPr>
          <w:rStyle w:val="VerbatimChar"/>
        </w:rPr>
        <w:t xml:space="preserve">$(...)</w:t>
      </w:r>
      <w:r>
        <w:t xml:space="preserve">, not by the shell; they were corrected in the tests. Not yet done: testing on non-Linux systems, running the pseudo-terminal suite under the sanitizer, and manual testing of full-screen programs.</w:t>
      </w:r>
    </w:p>
    <w:bookmarkEnd w:id="49"/>
    <w:bookmarkStart w:id="50" w:name="limitations"/>
    <w:p>
      <w:pPr>
        <w:pStyle w:val="Heading1"/>
      </w:pPr>
      <w:r>
        <w:t xml:space="preserve">15. Limitations</w:t>
      </w:r>
    </w:p>
    <w:p>
      <w:pPr>
        <w:pStyle w:val="FirstParagraph"/>
      </w:pPr>
      <w:r>
        <w:t xml:space="preserve">No job control (</w:t>
      </w:r>
      <w:r>
        <w:rPr>
          <w:rStyle w:val="VerbatimChar"/>
        </w:rPr>
        <w:t xml:space="preserve">fg</w:t>
      </w:r>
      <w:r>
        <w:t xml:space="preserve">,</w:t>
      </w:r>
      <w:r>
        <w:t xml:space="preserve"> </w:t>
      </w:r>
      <w:r>
        <w:rPr>
          <w:rStyle w:val="VerbatimChar"/>
        </w:rPr>
        <w:t xml:space="preserve">bg</w:t>
      </w:r>
      <w:r>
        <w:t xml:space="preserve">,</w:t>
      </w:r>
      <w:r>
        <w:t xml:space="preserve"> </w:t>
      </w:r>
      <w:r>
        <w:rPr>
          <w:rStyle w:val="VerbatimChar"/>
        </w:rPr>
        <w:t xml:space="preserve">jobs</w:t>
      </w:r>
      <w:r>
        <w:t xml:space="preserve">, Ctrl+Z); no wildcard expansion; no command substitution,</w:t>
      </w:r>
      <w:r>
        <w:t xml:space="preserve"> </w:t>
      </w:r>
      <w:r>
        <w:rPr>
          <w:rStyle w:val="VerbatimChar"/>
        </w:rPr>
        <w:t xml:space="preserve">&amp;&amp;</w:t>
      </w:r>
      <w:r>
        <w:t xml:space="preserve">,</w:t>
      </w:r>
      <w:r>
        <w:t xml:space="preserve"> </w:t>
      </w:r>
      <w:r>
        <w:rPr>
          <w:rStyle w:val="VerbatimChar"/>
        </w:rPr>
        <w:t xml:space="preserve">||</w:t>
      </w:r>
      <w:r>
        <w:t xml:space="preserve">, here-documents,</w:t>
      </w:r>
      <w:r>
        <w:t xml:space="preserve"> </w:t>
      </w:r>
      <w:r>
        <w:rPr>
          <w:rStyle w:val="VerbatimChar"/>
        </w:rPr>
        <w:t xml:space="preserve">2&gt;</w:t>
      </w:r>
      <w:r>
        <w:t xml:space="preserve"> </w:t>
      </w:r>
      <w:r>
        <w:t xml:space="preserve">redirection, aliases, functions or control flow; no</w:t>
      </w:r>
      <w:r>
        <w:t xml:space="preserve"> </w:t>
      </w:r>
      <w:r>
        <w:rPr>
          <w:rStyle w:val="VerbatimChar"/>
        </w:rPr>
        <w:t xml:space="preserve">~user</w:t>
      </w:r>
      <w:r>
        <w:t xml:space="preserve">; no line editing or history; all variables are environment variables; job-completion notices appear only at the next prompt; at most 64 tracked background jobs; tested on Linux only.</w:t>
      </w:r>
    </w:p>
    <w:bookmarkEnd w:id="50"/>
    <w:bookmarkStart w:id="51" w:name="future-enhancements"/>
    <w:p>
      <w:pPr>
        <w:pStyle w:val="Heading1"/>
      </w:pPr>
      <w:r>
        <w:t xml:space="preserve">16. Future enhancements</w:t>
      </w:r>
    </w:p>
    <w:p>
      <w:pPr>
        <w:pStyle w:val="FirstParagraph"/>
      </w:pPr>
      <w:r>
        <w:t xml:space="preserve">Job control with process groups and</w:t>
      </w:r>
      <w:r>
        <w:t xml:space="preserve"> </w:t>
      </w:r>
      <w:r>
        <w:rPr>
          <w:rStyle w:val="VerbatimChar"/>
        </w:rPr>
        <w:t xml:space="preserve">tcsetpgrp</w:t>
      </w:r>
      <w:r>
        <w:t xml:space="preserve">; globbing;</w:t>
      </w:r>
      <w:r>
        <w:t xml:space="preserve"> </w:t>
      </w:r>
      <w:r>
        <w:rPr>
          <w:rStyle w:val="VerbatimChar"/>
        </w:rPr>
        <w:t xml:space="preserve">&amp;&amp;</w:t>
      </w:r>
      <w:r>
        <w:t xml:space="preserve">/</w:t>
      </w:r>
      <w:r>
        <w:rPr>
          <w:rStyle w:val="VerbatimChar"/>
        </w:rPr>
        <w:t xml:space="preserve">||</w:t>
      </w:r>
      <w:r>
        <w:t xml:space="preserve">; stderr redirection; command substitution; line editing and history (readline or custom); SIGCHLD-driven notifications; shell functions and control flow; cross-platform testing.</w:t>
      </w:r>
    </w:p>
    <w:bookmarkEnd w:id="51"/>
    <w:bookmarkStart w:id="52" w:name="conclusion"/>
    <w:p>
      <w:pPr>
        <w:pStyle w:val="Heading1"/>
      </w:pPr>
      <w:r>
        <w:t xml:space="preserve">17. Conclusion</w:t>
      </w:r>
    </w:p>
    <w:p>
      <w:pPr>
        <w:pStyle w:val="FirstParagraph"/>
      </w:pPr>
      <w:r>
        <w:t xml:space="preserve">The project delivers a working, documented and tested Unix-like shell whose behaviour matches its specification: every documented feature is implemented, every functional requirement is traced to an executed test, and known limitations are stated openly. The exercise shows how a small systems program benefits from requirements-first design, modular structure and automated testing.</w:t>
      </w:r>
    </w:p>
    <w:bookmarkEnd w:id="52"/>
    <w:bookmarkStart w:id="53" w:name="references"/>
    <w:p>
      <w:pPr>
        <w:pStyle w:val="Heading1"/>
      </w:pPr>
      <w:r>
        <w:t xml:space="preserve">18. References</w:t>
      </w:r>
    </w:p>
    <w:p>
      <w:pPr>
        <w:numPr>
          <w:ilvl w:val="0"/>
          <w:numId w:val="1002"/>
        </w:numPr>
        <w:pStyle w:val="Compact"/>
      </w:pPr>
      <w:r>
        <w:t xml:space="preserve">IEEE Std 830-1998, Recommended Practice for Software Requirements Specifications.</w:t>
      </w:r>
    </w:p>
    <w:p>
      <w:pPr>
        <w:numPr>
          <w:ilvl w:val="0"/>
          <w:numId w:val="1002"/>
        </w:numPr>
        <w:pStyle w:val="Compact"/>
      </w:pPr>
      <w:r>
        <w:t xml:space="preserve">The Open Group, POSIX.1-2008, Shell Command Language and System Interfaces.</w:t>
      </w:r>
    </w:p>
    <w:p>
      <w:pPr>
        <w:numPr>
          <w:ilvl w:val="0"/>
          <w:numId w:val="1002"/>
        </w:numPr>
        <w:pStyle w:val="Compact"/>
      </w:pPr>
      <w:r>
        <w:t xml:space="preserve">W. R. Stevens and S. A. Rago,</w:t>
      </w:r>
      <w:r>
        <w:t xml:space="preserve"> </w:t>
      </w:r>
      <w:r>
        <w:rPr>
          <w:iCs/>
          <w:i/>
        </w:rPr>
        <w:t xml:space="preserve">Advanced Programming in the UNIX Environment</w:t>
      </w:r>
      <w:r>
        <w:t xml:space="preserve">, 3rd ed., 2013.</w:t>
      </w:r>
    </w:p>
    <w:p>
      <w:pPr>
        <w:numPr>
          <w:ilvl w:val="0"/>
          <w:numId w:val="1002"/>
        </w:numPr>
        <w:pStyle w:val="Compact"/>
      </w:pPr>
      <w:r>
        <w:t xml:space="preserve">M. Kerrisk,</w:t>
      </w:r>
      <w:r>
        <w:t xml:space="preserve"> </w:t>
      </w:r>
      <w:r>
        <w:rPr>
          <w:iCs/>
          <w:i/>
        </w:rPr>
        <w:t xml:space="preserve">The Linux Programming Interface</w:t>
      </w:r>
      <w:r>
        <w:t xml:space="preserve">, No Starch Press, 2010.</w:t>
      </w:r>
    </w:p>
    <w:p>
      <w:pPr>
        <w:numPr>
          <w:ilvl w:val="0"/>
          <w:numId w:val="1002"/>
        </w:numPr>
        <w:pStyle w:val="Compact"/>
      </w:pPr>
      <w:r>
        <w:t xml:space="preserve">Project documents: SRS (</w:t>
      </w:r>
      <w:r>
        <w:rPr>
          <w:rStyle w:val="VerbatimChar"/>
        </w:rPr>
        <w:t xml:space="preserve">docs/SRS.docx</w:t>
      </w:r>
      <w:r>
        <w:t xml:space="preserve">), design (</w:t>
      </w:r>
      <w:r>
        <w:rPr>
          <w:rStyle w:val="VerbatimChar"/>
        </w:rPr>
        <w:t xml:space="preserve">docs/DESIGN.md</w:t>
      </w:r>
      <w:r>
        <w:t xml:space="preserve">), test plan (</w:t>
      </w:r>
      <w:r>
        <w:rPr>
          <w:rStyle w:val="VerbatimChar"/>
        </w:rPr>
        <w:t xml:space="preserve">docs/STP.docx</w:t>
      </w:r>
      <w:r>
        <w:t xml:space="preserve">), RTM (</w:t>
      </w:r>
      <w:r>
        <w:rPr>
          <w:rStyle w:val="VerbatimChar"/>
        </w:rPr>
        <w:t xml:space="preserve">docs/RTM.md</w:t>
      </w:r>
      <w:r>
        <w:t xml:space="preserve">).</w:t>
      </w:r>
    </w:p>
    <w:bookmarkEnd w:id="53"/>
    <w:sectPr>
      <w:pgMar w:left="1152" w:right="1152" w:top="1152" w:bottom="11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8" Type="http://schemas.openxmlformats.org/officeDocument/2006/relationships/image" Target="media/rId28.png"/><Relationship Id="rId31" Type="http://schemas.openxmlformats.org/officeDocument/2006/relationships/image" Target="media/rId31.png"/><Relationship Id="rId35" Type="http://schemas.openxmlformats.org/officeDocument/2006/relationships/image" Target="media/rId35.png"/><Relationship Id="rId38" Type="http://schemas.openxmlformats.org/officeDocument/2006/relationships/image" Target="media/rId38.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Simple Shell (Command Line Interpreter)</dc:title>
  <dc:creator/>
  <cp:keywords/>
  <dcterms:created xsi:type="dcterms:W3CDTF">2026-10-03T06:19:42Z</dcterms:created>
  <dcterms:modified xsi:type="dcterms:W3CDTF">2026-10-03T06:19:42Z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Software Engineering Project 15 - Final Report</vt:lpwstr>
  </property>
</Properties>
</file>