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360" w:lineRule="auto"/>
        <w:jc w:val="center"/>
      </w:pPr>
    </w:p>
    <w:p>
      <w:pPr>
        <w:spacing w:after="0" w:before="0" w:line="360" w:lineRule="auto"/>
        <w:jc w:val="center"/>
      </w:pPr>
    </w:p>
    <w:p>
      <w:pPr>
        <w:spacing w:after="0" w:before="0" w:line="360" w:lineRule="auto"/>
        <w:jc w:val="center"/>
      </w:pPr>
    </w:p>
    <w:p>
      <w:pPr>
        <w:spacing w:after="120" w:before="0" w:line="276" w:lineRule="auto"/>
        <w:jc w:val="center"/>
      </w:pPr>
      <w:r>
        <w:rPr>
          <w:rFonts w:ascii="Montserrat" w:hAnsi="Montserrat" w:eastAsia="Montserrat" w:cs="Montserrat"/>
          <w:b/>
          <w:i w:val="0"/>
          <w:color w:val="0D1B2A"/>
          <w:sz w:val="22"/>
        </w:rPr>
        <w:t>AFRICAN LEADERSHIP UNIVERSITY</w:t>
      </w:r>
    </w:p>
    <w:p>
      <w:pPr>
        <w:spacing w:after="360" w:before="0" w:line="276" w:lineRule="auto"/>
        <w:jc w:val="center"/>
      </w:pPr>
      <w:r>
        <w:rPr>
          <w:rFonts w:ascii="Montserrat" w:hAnsi="Montserrat" w:eastAsia="Montserrat" w:cs="Montserrat"/>
          <w:b/>
          <w:i w:val="0"/>
          <w:color w:val="028090"/>
          <w:sz w:val="22"/>
        </w:rPr>
        <w:t>SCHOOL OF BUSINESS</w:t>
      </w:r>
    </w:p>
    <w:p>
      <w:pPr>
        <w:spacing w:after="360" w:before="0" w:line="312" w:lineRule="auto"/>
        <w:jc w:val="center"/>
      </w:pPr>
      <w:r>
        <w:rPr>
          <w:rFonts w:ascii="Montserrat" w:hAnsi="Montserrat" w:eastAsia="Montserrat" w:cs="Montserrat"/>
          <w:b/>
          <w:i w:val="0"/>
          <w:color w:val="0D1B2A"/>
          <w:sz w:val="32"/>
        </w:rPr>
        <w:t>JointHub Africa: The Mentor Hub as an AI-Powered Operating System for the Emerging Servant Leaders Programme in Rwanda</w:t>
      </w:r>
    </w:p>
    <w:p>
      <w:pPr>
        <w:spacing w:after="240" w:before="0" w:line="312" w:lineRule="auto"/>
        <w:jc w:val="center"/>
      </w:pPr>
      <w:r>
        <w:rPr>
          <w:rFonts w:ascii="Montserrat" w:hAnsi="Montserrat" w:eastAsia="Montserrat" w:cs="Montserrat"/>
          <w:b w:val="0"/>
          <w:i/>
          <w:sz w:val="22"/>
        </w:rPr>
        <w:t>A Capstone II Final Report submitted in partial fulfilment of the requirements for the degree of Executive Master of Business Administration (Data Science and Artificial Intelligence)</w:t>
      </w:r>
    </w:p>
    <w:p>
      <w:pPr>
        <w:spacing w:after="80" w:before="0" w:line="312" w:lineRule="auto"/>
        <w:jc w:val="center"/>
      </w:pPr>
      <w:r>
        <w:rPr>
          <w:rFonts w:ascii="Montserrat" w:hAnsi="Montserrat" w:eastAsia="Montserrat" w:cs="Montserrat"/>
          <w:b/>
          <w:i w:val="0"/>
          <w:sz w:val="24"/>
        </w:rPr>
        <w:t>Isaiah Kporon</w:t>
      </w:r>
    </w:p>
    <w:p>
      <w:pPr>
        <w:spacing w:after="80" w:before="0" w:line="312" w:lineRule="auto"/>
        <w:jc w:val="center"/>
      </w:pPr>
      <w:r>
        <w:rPr>
          <w:rFonts w:ascii="Montserrat" w:hAnsi="Montserrat" w:eastAsia="Montserrat" w:cs="Montserrat"/>
          <w:b w:val="0"/>
          <w:i w:val="0"/>
          <w:sz w:val="22"/>
        </w:rPr>
        <w:t>August 2026</w:t>
      </w:r>
    </w:p>
    <w:p>
      <w:pPr>
        <w:sectPr>
          <w:headerReference w:type="default" r:id="rId9"/>
          <w:footerReference w:type="default" r:id="rId10"/>
          <w:footerReference w:type="first" r:id="rId11"/>
          <w:pgSz w:w="11906" w:h="16838"/>
          <w:pgMar w:top="1440" w:right="1440" w:bottom="1440" w:left="1800" w:header="720" w:footer="720" w:gutter="0"/>
          <w:cols w:space="720"/>
          <w:titlePg/>
          <w:docGrid w:linePitch="360"/>
        </w:sectPr>
      </w:pPr>
    </w:p>
    <w:p>
      <w:pPr>
        <w:spacing w:after="200" w:before="240" w:line="276" w:lineRule="auto"/>
        <w:jc w:val="left"/>
      </w:pPr>
      <w:r>
        <w:rPr>
          <w:rFonts w:ascii="Montserrat" w:hAnsi="Montserrat" w:eastAsia="Montserrat" w:cs="Montserrat"/>
          <w:b/>
          <w:i w:val="0"/>
          <w:color w:val="0D1B2A"/>
          <w:sz w:val="24"/>
        </w:rPr>
        <w:t>DECLARATION</w:t>
      </w:r>
    </w:p>
    <w:p>
      <w:pPr>
        <w:spacing w:after="160" w:before="0" w:line="360" w:lineRule="auto"/>
        <w:jc w:val="both"/>
      </w:pPr>
      <w:r>
        <w:rPr>
          <w:rFonts w:ascii="Montserrat" w:hAnsi="Montserrat" w:eastAsia="Montserrat" w:cs="Montserrat"/>
          <w:b w:val="0"/>
          <w:i w:val="0"/>
          <w:sz w:val="22"/>
        </w:rPr>
        <w:t xml:space="preserve">I, Isaiah Kporon, declare that this Capstone II Final Report, </w:t>
      </w:r>
      <w:r>
        <w:rPr>
          <w:rFonts w:ascii="Montserrat" w:hAnsi="Montserrat" w:eastAsia="Montserrat" w:cs="Montserrat"/>
          <w:b w:val="0"/>
          <w:i/>
          <w:sz w:val="22"/>
        </w:rPr>
        <w:t>JointHub Africa: The Mentor Hub as an AI-Powered Operating System for the Emerging Servant Leaders Programme in Rwanda</w:t>
      </w:r>
      <w:r>
        <w:rPr>
          <w:rFonts w:ascii="Montserrat" w:hAnsi="Montserrat" w:eastAsia="Montserrat" w:cs="Montserrat"/>
          <w:b w:val="0"/>
          <w:i w:val="0"/>
          <w:sz w:val="22"/>
        </w:rPr>
        <w:t>, is my own original work submitted in partial fulfilment of the Executive Master of Business Administration (Data Science and Artificial Intelligence) at the African Leadership University School of Business. All sources used have been acknowledged in accordance with APA 7th edition.</w:t>
      </w:r>
    </w:p>
    <w:p>
      <w:pPr>
        <w:spacing w:after="160" w:before="0" w:line="360" w:lineRule="auto"/>
        <w:jc w:val="both"/>
      </w:pPr>
      <w:r>
        <w:rPr>
          <w:rFonts w:ascii="Montserrat" w:hAnsi="Montserrat" w:eastAsia="Montserrat" w:cs="Montserrat"/>
          <w:b w:val="0"/>
          <w:i w:val="0"/>
          <w:sz w:val="22"/>
        </w:rPr>
        <w:t>The SimpleJoint / ESL programme and platform inventory reported here is that authorised by SimpleJoint Trust: 6+ countries represented, including Rwanda; 153+ opportunities listed; 85+ students supported; and The Mentor Hub as an AI-powered Mentorship Dashboard. Separately, as programme impact rather than model accuracy, scholars have secured $158,000+ in scholarships and grants. Sample-cohort model metrics, platform sample statistics, and shipping evidence are reported in separate evidence buckets and are not mixed with programme/platform impact. Production publication of the Mentor Hub remains gated on Executive Director and Managing Director approval.</w:t>
      </w:r>
    </w:p>
    <w:p>
      <w:pPr>
        <w:spacing w:after="160" w:before="0" w:line="360" w:lineRule="auto"/>
        <w:jc w:val="both"/>
      </w:pPr>
      <w:r>
        <w:rPr>
          <w:rFonts w:ascii="Montserrat" w:hAnsi="Montserrat" w:eastAsia="Montserrat" w:cs="Montserrat"/>
          <w:b w:val="0"/>
          <w:i w:val="0"/>
          <w:sz w:val="22"/>
        </w:rPr>
        <w:t>This report does not claim completed live ESL field surveys, completed bootcamp attendance or NPS results, or production-scale pan-African deployment. The bootcamp is described as the intended launch vehicle for the Mentor Hub into the ESL cohort. Where evidence is synthetic, directional, or planning-only, that status is stated in the text.</w:t>
      </w:r>
    </w:p>
    <w:p>
      <w:pPr>
        <w:spacing w:after="160" w:before="0" w:line="360" w:lineRule="auto"/>
        <w:jc w:val="both"/>
      </w:pPr>
      <w:r>
        <w:rPr>
          <w:rFonts w:ascii="Montserrat" w:hAnsi="Montserrat" w:eastAsia="Montserrat" w:cs="Montserrat"/>
          <w:b w:val="0"/>
          <w:i w:val="0"/>
          <w:sz w:val="22"/>
        </w:rPr>
        <w:t>Student name: Isaiah Kporon Date: August 2026</w:t>
      </w:r>
    </w:p>
    <w:p>
      <w:pPr>
        <w:spacing w:after="200" w:before="240" w:line="276" w:lineRule="auto"/>
        <w:jc w:val="left"/>
      </w:pPr>
      <w:r>
        <w:rPr>
          <w:rFonts w:ascii="Montserrat" w:hAnsi="Montserrat" w:eastAsia="Montserrat" w:cs="Montserrat"/>
          <w:b/>
          <w:i w:val="0"/>
          <w:color w:val="0D1B2A"/>
          <w:sz w:val="24"/>
        </w:rPr>
        <w:t>DEDICATION</w:t>
      </w:r>
    </w:p>
    <w:p>
      <w:pPr>
        <w:spacing w:after="160" w:before="0" w:line="360" w:lineRule="auto"/>
        <w:jc w:val="both"/>
      </w:pPr>
      <w:r>
        <w:rPr>
          <w:rFonts w:ascii="Montserrat" w:hAnsi="Montserrat" w:eastAsia="Montserrat" w:cs="Montserrat"/>
          <w:b w:val="0"/>
          <w:i w:val="0"/>
          <w:sz w:val="22"/>
        </w:rPr>
        <w:t>To the Emerging Servant Leaders scholars who keep converting scarce information into applications, interviews, and service, and to Cynthia Kporon, whose operational stewardship makes a volunteer organisation capable of shipping a working operating system rather than a slide.</w:t>
      </w:r>
    </w:p>
    <w:p>
      <w:pPr>
        <w:spacing w:after="200" w:before="240" w:line="276" w:lineRule="auto"/>
        <w:jc w:val="left"/>
      </w:pPr>
      <w:r>
        <w:rPr>
          <w:rFonts w:ascii="Montserrat" w:hAnsi="Montserrat" w:eastAsia="Montserrat" w:cs="Montserrat"/>
          <w:b/>
          <w:i w:val="0"/>
          <w:color w:val="0D1B2A"/>
          <w:sz w:val="24"/>
        </w:rPr>
        <w:t>ACKNOWLEDGEMENTS</w:t>
      </w:r>
    </w:p>
    <w:p>
      <w:pPr>
        <w:spacing w:after="160" w:before="0" w:line="360" w:lineRule="auto"/>
        <w:jc w:val="both"/>
      </w:pPr>
      <w:r>
        <w:rPr>
          <w:rFonts w:ascii="Montserrat" w:hAnsi="Montserrat" w:eastAsia="Montserrat" w:cs="Montserrat"/>
          <w:b w:val="0"/>
          <w:i w:val="0"/>
          <w:sz w:val="22"/>
        </w:rPr>
        <w:t>I thank the African Leadership University School of Business faculty and Capstone mentors for the requirement that Capstone II be an implemented project rather than a hypothetical case. I thank Cynthia Kporon, Managing Director of SimpleJoint Trust, for programme operations, partner follow-through, and the approval gate that keeps this product honest. I thank volunteer mentors, scholars, and the unpaid operating team who hold ESL together while the digital operating system is built. Errors of interpretation remain mine.</w:t>
      </w:r>
    </w:p>
    <w:p>
      <w:r>
        <w:br w:type="page"/>
      </w:r>
    </w:p>
    <w:p>
      <w:pPr>
        <w:spacing w:after="200" w:before="240" w:line="276" w:lineRule="auto"/>
        <w:jc w:val="left"/>
      </w:pPr>
      <w:r>
        <w:rPr>
          <w:rFonts w:ascii="Montserrat" w:hAnsi="Montserrat" w:eastAsia="Montserrat" w:cs="Montserrat"/>
          <w:b/>
          <w:i w:val="0"/>
          <w:color w:val="0D1B2A"/>
          <w:sz w:val="24"/>
        </w:rPr>
        <w:t>EXECUTIVE SUMMARY</w:t>
      </w:r>
    </w:p>
    <w:p>
      <w:pPr>
        <w:spacing w:after="160" w:before="0" w:line="360" w:lineRule="auto"/>
        <w:jc w:val="both"/>
      </w:pPr>
      <w:r>
        <w:rPr>
          <w:rFonts w:ascii="Montserrat" w:hAnsi="Montserrat" w:eastAsia="Montserrat" w:cs="Montserrat"/>
          <w:b/>
          <w:i w:val="0"/>
          <w:sz w:val="22"/>
        </w:rPr>
        <w:t>Key finding.</w:t>
      </w:r>
      <w:r>
        <w:rPr>
          <w:rFonts w:ascii="Montserrat" w:hAnsi="Montserrat" w:eastAsia="Montserrat" w:cs="Montserrat"/>
          <w:b w:val="0"/>
          <w:i w:val="0"/>
          <w:sz w:val="22"/>
        </w:rPr>
        <w:t xml:space="preserve"> JointHub Africa should be judged as a working Rwanda beachhead operating system for an existing programme, not as a new pan-African scholarship website. Capstone I produced a Digital Campaign for the SDGs that proposed sustainability education for African youth in partnership with SimpleJoint. That campaign logic was operationalised as SimpleJoint Trust’s Emerging Servant Leaders (ESL) programme: the human, cohort-based layer of scholars, mentors, community, and servant-leadership formation. Capstone II builds The Mentor Hub, an AI-powered Mentorship Dashboard, as the digital operating system that runs ESL in Rwanda. The Hub does not replace ESL. It operates ESL: opportunity intelligence, mentor matching, dropout-risk operations, and scholar/mentor/admin roles. A bootcamp is the intended launch vehicle that activates the OS inside the ESL cohort.</w:t>
      </w:r>
    </w:p>
    <w:p>
      <w:pPr>
        <w:spacing w:after="160" w:before="0" w:line="360" w:lineRule="auto"/>
        <w:jc w:val="both"/>
      </w:pPr>
      <w:r>
        <w:rPr>
          <w:rFonts w:ascii="Montserrat" w:hAnsi="Montserrat" w:eastAsia="Montserrat" w:cs="Montserrat"/>
          <w:b/>
          <w:i w:val="0"/>
          <w:sz w:val="22"/>
        </w:rPr>
        <w:t>Evidence summary.</w:t>
      </w:r>
    </w:p>
    <w:p>
      <w:pPr>
        <w:pStyle w:val="ListBullet"/>
        <w:spacing w:after="80" w:before="0" w:line="360" w:lineRule="auto"/>
        <w:jc w:val="both"/>
      </w:pPr>
      <w:r>
        <w:rPr>
          <w:rFonts w:ascii="Montserrat" w:hAnsi="Montserrat" w:eastAsia="Montserrat" w:cs="Montserrat"/>
          <w:b w:val="0"/>
          <w:i w:val="0"/>
          <w:sz w:val="22"/>
        </w:rPr>
        <w:t>Rwanda is the implementation geography because SimpleJoint Trust already operates from Kigali and because Isaiah’s Rwanda youth-empowerment business plan documents persistent youth unemployment (13.6%) and labour underutilization above 50%, together with Gasabo demand for career guidance, job matching, and mentorship rather than standalone training (Kporon, n.d.; National Institute of Statistics of Rwanda [NISR], 2025; Bugingo, 2025).</w:t>
      </w:r>
    </w:p>
    <w:p>
      <w:pPr>
        <w:pStyle w:val="ListBullet"/>
        <w:spacing w:after="80" w:before="0" w:line="360" w:lineRule="auto"/>
        <w:jc w:val="both"/>
      </w:pPr>
      <w:r>
        <w:rPr>
          <w:rFonts w:ascii="Montserrat" w:hAnsi="Montserrat" w:eastAsia="Montserrat" w:cs="Montserrat"/>
          <w:b w:val="0"/>
          <w:i w:val="0"/>
          <w:sz w:val="22"/>
        </w:rPr>
        <w:t>SimpleJoint / ESL programme and platform inventory (not model accuracy): 6+ countries represented, including Rwanda; 153+ opportunities listed; 85+ students supported; and The Mentor Hub as an AI-powered Mentorship Dashboard. Separately in the same programme-impact bucket, scholars have secured $158,000+ in scholarships and grants. Adjacent programme-quality pulses remain 100% post-mentorship interview confidence and 88% leadership/service readiness (SimpleJoint Trust, 2026a, 2026d).</w:t>
      </w:r>
    </w:p>
    <w:p>
      <w:pPr>
        <w:pStyle w:val="ListBullet"/>
        <w:spacing w:after="80" w:before="0" w:line="360" w:lineRule="auto"/>
        <w:jc w:val="both"/>
      </w:pPr>
      <w:r>
        <w:rPr>
          <w:rFonts w:ascii="Montserrat" w:hAnsi="Montserrat" w:eastAsia="Montserrat" w:cs="Montserrat"/>
          <w:b w:val="0"/>
          <w:i w:val="0"/>
          <w:sz w:val="22"/>
        </w:rPr>
        <w:t>MVP / demo technical evidence is separate. The Capstone II Mentor Hub is live on staging. On the sample cohort, Precision@5 was 0.8583 (target ≥0.75), Mentor F1 0.7778 (target ≥0.70), and NLP recall 0.85 (target ≥0.80). AUC 1.00 is a synthetic-label ceiling and is not claimed as live-data performance (SimpleJoint Trust, 2026b).</w:t>
      </w:r>
    </w:p>
    <w:p>
      <w:pPr>
        <w:pStyle w:val="ListBullet"/>
        <w:spacing w:after="80" w:before="0" w:line="360" w:lineRule="auto"/>
        <w:jc w:val="both"/>
      </w:pPr>
      <w:r>
        <w:rPr>
          <w:rFonts w:ascii="Montserrat" w:hAnsi="Montserrat" w:eastAsia="Montserrat" w:cs="Montserrat"/>
          <w:b w:val="0"/>
          <w:i w:val="0"/>
          <w:sz w:val="22"/>
        </w:rPr>
        <w:t>Competitive lists (Opportunity Desk, After School Africa, Scholars4Dev) and mentor marketplaces (ADPList) do not own programme operating workflows: ranked opportunities with explanations, mentor assignment, and human-overridden risk outreach (SimpleJoint Trust, 2026c).</w:t>
      </w:r>
    </w:p>
    <w:p>
      <w:pPr>
        <w:spacing w:after="160" w:before="0" w:line="360" w:lineRule="auto"/>
        <w:jc w:val="both"/>
      </w:pPr>
      <w:r>
        <w:rPr>
          <w:rFonts w:ascii="Montserrat" w:hAnsi="Montserrat" w:eastAsia="Montserrat" w:cs="Montserrat"/>
          <w:b/>
          <w:i w:val="0"/>
          <w:sz w:val="22"/>
        </w:rPr>
        <w:t>Solution and recommended action.</w:t>
      </w:r>
      <w:r>
        <w:rPr>
          <w:rFonts w:ascii="Montserrat" w:hAnsi="Montserrat" w:eastAsia="Montserrat" w:cs="Montserrat"/>
          <w:b w:val="0"/>
          <w:i w:val="0"/>
          <w:sz w:val="22"/>
        </w:rPr>
        <w:t xml:space="preserve"> The Mentor Hub is a role-aware staging web application. Scholars see ranked opportunities with explanations and a mentor path. Mentors see assigned mentees. Administrators see a dropout-risk queue that requires human override. Freeze product priority on opportunities, Mentor Hub, and risk outreach. Use the bootcamp as the intended launch into the ESL cohort without treating an undelivered event as completed results. Connect live ESL records and a real mentor roster within one quarter. Keep the scholar core free. Treat finance and legal board coverage, not additional features, as the next institutional gate. Do not publish production until the Executive Director and Managing Director sign off.</w:t>
      </w:r>
    </w:p>
    <w:p>
      <w:pPr>
        <w:spacing w:after="160" w:before="0" w:line="360" w:lineRule="auto"/>
        <w:jc w:val="both"/>
      </w:pPr>
      <w:r>
        <w:rPr>
          <w:rFonts w:ascii="Montserrat" w:hAnsi="Montserrat" w:eastAsia="Montserrat" w:cs="Montserrat"/>
          <w:b w:val="0"/>
          <w:i w:val="0"/>
          <w:sz w:val="22"/>
        </w:rPr>
        <w:t>This report follows the ALU Capstone Final Report handbook: five chapters covering context, situational analysis, solution design, implementation and evaluation, and sustainability. Limitations are stated where they exist. Capstone II proof is the staging Mentor Hub plus sample-cohort evaluation, not a claim that JointHub has replaced ESL or already scaled pan-African production.</w:t>
      </w:r>
    </w:p>
    <w:p>
      <w:r>
        <w:br w:type="page"/>
      </w:r>
    </w:p>
    <w:p>
      <w:pPr>
        <w:spacing w:after="200" w:before="240" w:line="276" w:lineRule="auto"/>
        <w:jc w:val="left"/>
      </w:pPr>
      <w:r>
        <w:rPr>
          <w:rFonts w:ascii="Montserrat" w:hAnsi="Montserrat" w:eastAsia="Montserrat" w:cs="Montserrat"/>
          <w:b/>
          <w:i w:val="0"/>
          <w:color w:val="0D1B2A"/>
          <w:sz w:val="24"/>
        </w:rPr>
        <w:t>LIST OF ABBREVIATIONS</w:t>
      </w:r>
    </w:p>
    <w:tbl>
      <w:tblPr>
        <w:tblW w:type="auto" w:w="0"/>
        <w:jc w:val="center"/>
        <w:tblLayout w:type="autofit"/>
        <w:tblLook w:firstColumn="1" w:firstRow="1" w:lastColumn="0" w:lastRow="0" w:noHBand="0" w:noVBand="1" w:val="04A0"/>
      </w:tblPr>
      <w:tblGrid>
        <w:gridCol w:w="4333"/>
        <w:gridCol w:w="4333"/>
      </w:tblGrid>
      <w:tr>
        <w:tc>
          <w:tcPr>
            <w:tcW w:type="dxa" w:w="4333"/>
            <w:tcBorders>
              <w:top w:val="single" w:sz="4" w:space="0" w:color="D6D3D1"/>
              <w:left w:val="single" w:sz="4" w:space="0" w:color="D6D3D1"/>
              <w:bottom w:val="single" w:sz="4" w:space="0" w:color="D6D3D1"/>
              <w:right w:val="single" w:sz="4" w:space="0" w:color="D6D3D1"/>
            </w:tcBorders>
            <w:shd w:fill="0D1B2A" w:val="clear"/>
          </w:tcPr>
          <w:p>
            <w:pPr>
              <w:spacing w:after="40" w:before="40" w:line="240" w:lineRule="auto"/>
              <w:jc w:val="left"/>
            </w:pPr>
            <w:r>
              <w:rPr>
                <w:color w:val="FFFFFF"/>
              </w:rPr>
            </w:r>
            <w:r>
              <w:rPr>
                <w:rFonts w:ascii="Montserrat" w:hAnsi="Montserrat" w:eastAsia="Montserrat" w:cs="Montserrat"/>
                <w:b/>
                <w:i w:val="0"/>
                <w:color w:val="FFFFFF"/>
                <w:sz w:val="20"/>
              </w:rPr>
              <w:t>Abbreviation</w:t>
            </w:r>
          </w:p>
        </w:tc>
        <w:tc>
          <w:tcPr>
            <w:tcW w:type="dxa" w:w="4333"/>
            <w:tcBorders>
              <w:top w:val="single" w:sz="4" w:space="0" w:color="D6D3D1"/>
              <w:left w:val="single" w:sz="4" w:space="0" w:color="D6D3D1"/>
              <w:bottom w:val="single" w:sz="4" w:space="0" w:color="D6D3D1"/>
              <w:right w:val="single" w:sz="4" w:space="0" w:color="D6D3D1"/>
            </w:tcBorders>
            <w:shd w:fill="0D1B2A" w:val="clear"/>
          </w:tcPr>
          <w:p>
            <w:pPr>
              <w:spacing w:after="40" w:before="40" w:line="240" w:lineRule="auto"/>
              <w:jc w:val="left"/>
            </w:pPr>
            <w:r>
              <w:rPr>
                <w:color w:val="FFFFFF"/>
              </w:rPr>
            </w:r>
            <w:r>
              <w:rPr>
                <w:rFonts w:ascii="Montserrat" w:hAnsi="Montserrat" w:eastAsia="Montserrat" w:cs="Montserrat"/>
                <w:b/>
                <w:i w:val="0"/>
                <w:color w:val="FFFFFF"/>
                <w:sz w:val="20"/>
              </w:rPr>
              <w:t>Meaning</w:t>
            </w:r>
          </w:p>
        </w:tc>
      </w:tr>
      <w:tr>
        <w:tc>
          <w:tcPr>
            <w:tcW w:type="dxa" w:w="4333"/>
            <w:tcBorders>
              <w:top w:val="single" w:sz="4" w:space="0" w:color="D6D3D1"/>
              <w:left w:val="single" w:sz="4" w:space="0" w:color="D6D3D1"/>
              <w:bottom w:val="single" w:sz="4" w:space="0" w:color="D6D3D1"/>
              <w:right w:val="single" w:sz="4" w:space="0" w:color="D6D3D1"/>
            </w:tcBorders>
          </w:tcPr>
          <w:p>
            <w:pPr>
              <w:spacing w:after="40" w:before="40" w:line="240" w:lineRule="auto"/>
              <w:jc w:val="left"/>
            </w:pPr>
            <w:r/>
            <w:r>
              <w:rPr>
                <w:rFonts w:ascii="Montserrat" w:hAnsi="Montserrat" w:eastAsia="Montserrat" w:cs="Montserrat"/>
                <w:b w:val="0"/>
                <w:i w:val="0"/>
                <w:sz w:val="20"/>
              </w:rPr>
              <w:t>AfDB</w:t>
            </w:r>
          </w:p>
        </w:tc>
        <w:tc>
          <w:tcPr>
            <w:tcW w:type="dxa" w:w="4333"/>
            <w:tcBorders>
              <w:top w:val="single" w:sz="4" w:space="0" w:color="D6D3D1"/>
              <w:left w:val="single" w:sz="4" w:space="0" w:color="D6D3D1"/>
              <w:bottom w:val="single" w:sz="4" w:space="0" w:color="D6D3D1"/>
              <w:right w:val="single" w:sz="4" w:space="0" w:color="D6D3D1"/>
            </w:tcBorders>
          </w:tcPr>
          <w:p>
            <w:pPr>
              <w:spacing w:after="40" w:before="40" w:line="240" w:lineRule="auto"/>
              <w:jc w:val="left"/>
            </w:pPr>
            <w:r/>
            <w:r>
              <w:rPr>
                <w:rFonts w:ascii="Montserrat" w:hAnsi="Montserrat" w:eastAsia="Montserrat" w:cs="Montserrat"/>
                <w:b w:val="0"/>
                <w:i w:val="0"/>
                <w:sz w:val="20"/>
              </w:rPr>
              <w:t>African Development Bank</w:t>
            </w:r>
          </w:p>
        </w:tc>
      </w:tr>
      <w:tr>
        <w:tc>
          <w:tcPr>
            <w:tcW w:type="dxa" w:w="4333"/>
            <w:tcBorders>
              <w:top w:val="single" w:sz="4" w:space="0" w:color="D6D3D1"/>
              <w:left w:val="single" w:sz="4" w:space="0" w:color="D6D3D1"/>
              <w:bottom w:val="single" w:sz="4" w:space="0" w:color="D6D3D1"/>
              <w:right w:val="single" w:sz="4" w:space="0" w:color="D6D3D1"/>
            </w:tcBorders>
            <w:shd w:fill="F4F1EE" w:val="clear"/>
          </w:tcPr>
          <w:p>
            <w:pPr>
              <w:spacing w:after="40" w:before="40" w:line="240" w:lineRule="auto"/>
              <w:jc w:val="left"/>
            </w:pPr>
            <w:r/>
            <w:r>
              <w:rPr>
                <w:rFonts w:ascii="Montserrat" w:hAnsi="Montserrat" w:eastAsia="Montserrat" w:cs="Montserrat"/>
                <w:b w:val="0"/>
                <w:i w:val="0"/>
                <w:sz w:val="20"/>
              </w:rPr>
              <w:t>ALU</w:t>
            </w:r>
          </w:p>
        </w:tc>
        <w:tc>
          <w:tcPr>
            <w:tcW w:type="dxa" w:w="4333"/>
            <w:tcBorders>
              <w:top w:val="single" w:sz="4" w:space="0" w:color="D6D3D1"/>
              <w:left w:val="single" w:sz="4" w:space="0" w:color="D6D3D1"/>
              <w:bottom w:val="single" w:sz="4" w:space="0" w:color="D6D3D1"/>
              <w:right w:val="single" w:sz="4" w:space="0" w:color="D6D3D1"/>
            </w:tcBorders>
            <w:shd w:fill="F4F1EE" w:val="clear"/>
          </w:tcPr>
          <w:p>
            <w:pPr>
              <w:spacing w:after="40" w:before="40" w:line="240" w:lineRule="auto"/>
              <w:jc w:val="left"/>
            </w:pPr>
            <w:r/>
            <w:r>
              <w:rPr>
                <w:rFonts w:ascii="Montserrat" w:hAnsi="Montserrat" w:eastAsia="Montserrat" w:cs="Montserrat"/>
                <w:b w:val="0"/>
                <w:i w:val="0"/>
                <w:sz w:val="20"/>
              </w:rPr>
              <w:t>African Leadership University</w:t>
            </w:r>
          </w:p>
        </w:tc>
      </w:tr>
      <w:tr>
        <w:tc>
          <w:tcPr>
            <w:tcW w:type="dxa" w:w="4333"/>
            <w:tcBorders>
              <w:top w:val="single" w:sz="4" w:space="0" w:color="D6D3D1"/>
              <w:left w:val="single" w:sz="4" w:space="0" w:color="D6D3D1"/>
              <w:bottom w:val="single" w:sz="4" w:space="0" w:color="D6D3D1"/>
              <w:right w:val="single" w:sz="4" w:space="0" w:color="D6D3D1"/>
            </w:tcBorders>
          </w:tcPr>
          <w:p>
            <w:pPr>
              <w:spacing w:after="40" w:before="40" w:line="240" w:lineRule="auto"/>
              <w:jc w:val="left"/>
            </w:pPr>
            <w:r/>
            <w:r>
              <w:rPr>
                <w:rFonts w:ascii="Montserrat" w:hAnsi="Montserrat" w:eastAsia="Montserrat" w:cs="Montserrat"/>
                <w:b w:val="0"/>
                <w:i w:val="0"/>
                <w:sz w:val="20"/>
              </w:rPr>
              <w:t>APA</w:t>
            </w:r>
          </w:p>
        </w:tc>
        <w:tc>
          <w:tcPr>
            <w:tcW w:type="dxa" w:w="4333"/>
            <w:tcBorders>
              <w:top w:val="single" w:sz="4" w:space="0" w:color="D6D3D1"/>
              <w:left w:val="single" w:sz="4" w:space="0" w:color="D6D3D1"/>
              <w:bottom w:val="single" w:sz="4" w:space="0" w:color="D6D3D1"/>
              <w:right w:val="single" w:sz="4" w:space="0" w:color="D6D3D1"/>
            </w:tcBorders>
          </w:tcPr>
          <w:p>
            <w:pPr>
              <w:spacing w:after="40" w:before="40" w:line="240" w:lineRule="auto"/>
              <w:jc w:val="left"/>
            </w:pPr>
            <w:r/>
            <w:r>
              <w:rPr>
                <w:rFonts w:ascii="Montserrat" w:hAnsi="Montserrat" w:eastAsia="Montserrat" w:cs="Montserrat"/>
                <w:b w:val="0"/>
                <w:i w:val="0"/>
                <w:sz w:val="20"/>
              </w:rPr>
              <w:t>American Psychological Association (7th edition)</w:t>
            </w:r>
          </w:p>
        </w:tc>
      </w:tr>
      <w:tr>
        <w:tc>
          <w:tcPr>
            <w:tcW w:type="dxa" w:w="4333"/>
            <w:tcBorders>
              <w:top w:val="single" w:sz="4" w:space="0" w:color="D6D3D1"/>
              <w:left w:val="single" w:sz="4" w:space="0" w:color="D6D3D1"/>
              <w:bottom w:val="single" w:sz="4" w:space="0" w:color="D6D3D1"/>
              <w:right w:val="single" w:sz="4" w:space="0" w:color="D6D3D1"/>
            </w:tcBorders>
            <w:shd w:fill="F4F1EE" w:val="clear"/>
          </w:tcPr>
          <w:p>
            <w:pPr>
              <w:spacing w:after="40" w:before="40" w:line="240" w:lineRule="auto"/>
              <w:jc w:val="left"/>
            </w:pPr>
            <w:r/>
            <w:r>
              <w:rPr>
                <w:rFonts w:ascii="Montserrat" w:hAnsi="Montserrat" w:eastAsia="Montserrat" w:cs="Montserrat"/>
                <w:b w:val="0"/>
                <w:i w:val="0"/>
                <w:sz w:val="20"/>
              </w:rPr>
              <w:t>AUC</w:t>
            </w:r>
          </w:p>
        </w:tc>
        <w:tc>
          <w:tcPr>
            <w:tcW w:type="dxa" w:w="4333"/>
            <w:tcBorders>
              <w:top w:val="single" w:sz="4" w:space="0" w:color="D6D3D1"/>
              <w:left w:val="single" w:sz="4" w:space="0" w:color="D6D3D1"/>
              <w:bottom w:val="single" w:sz="4" w:space="0" w:color="D6D3D1"/>
              <w:right w:val="single" w:sz="4" w:space="0" w:color="D6D3D1"/>
            </w:tcBorders>
            <w:shd w:fill="F4F1EE" w:val="clear"/>
          </w:tcPr>
          <w:p>
            <w:pPr>
              <w:spacing w:after="40" w:before="40" w:line="240" w:lineRule="auto"/>
              <w:jc w:val="left"/>
            </w:pPr>
            <w:r/>
            <w:r>
              <w:rPr>
                <w:rFonts w:ascii="Montserrat" w:hAnsi="Montserrat" w:eastAsia="Montserrat" w:cs="Montserrat"/>
                <w:b w:val="0"/>
                <w:i w:val="0"/>
                <w:sz w:val="20"/>
              </w:rPr>
              <w:t>Area under the receiver operating characteristic curve</w:t>
            </w:r>
          </w:p>
        </w:tc>
      </w:tr>
      <w:tr>
        <w:tc>
          <w:tcPr>
            <w:tcW w:type="dxa" w:w="4333"/>
            <w:tcBorders>
              <w:top w:val="single" w:sz="4" w:space="0" w:color="D6D3D1"/>
              <w:left w:val="single" w:sz="4" w:space="0" w:color="D6D3D1"/>
              <w:bottom w:val="single" w:sz="4" w:space="0" w:color="D6D3D1"/>
              <w:right w:val="single" w:sz="4" w:space="0" w:color="D6D3D1"/>
            </w:tcBorders>
          </w:tcPr>
          <w:p>
            <w:pPr>
              <w:spacing w:after="40" w:before="40" w:line="240" w:lineRule="auto"/>
              <w:jc w:val="left"/>
            </w:pPr>
            <w:r/>
            <w:r>
              <w:rPr>
                <w:rFonts w:ascii="Montserrat" w:hAnsi="Montserrat" w:eastAsia="Montserrat" w:cs="Montserrat"/>
                <w:b w:val="0"/>
                <w:i w:val="0"/>
                <w:sz w:val="20"/>
              </w:rPr>
              <w:t>ED</w:t>
            </w:r>
          </w:p>
        </w:tc>
        <w:tc>
          <w:tcPr>
            <w:tcW w:type="dxa" w:w="4333"/>
            <w:tcBorders>
              <w:top w:val="single" w:sz="4" w:space="0" w:color="D6D3D1"/>
              <w:left w:val="single" w:sz="4" w:space="0" w:color="D6D3D1"/>
              <w:bottom w:val="single" w:sz="4" w:space="0" w:color="D6D3D1"/>
              <w:right w:val="single" w:sz="4" w:space="0" w:color="D6D3D1"/>
            </w:tcBorders>
          </w:tcPr>
          <w:p>
            <w:pPr>
              <w:spacing w:after="40" w:before="40" w:line="240" w:lineRule="auto"/>
              <w:jc w:val="left"/>
            </w:pPr>
            <w:r/>
            <w:r>
              <w:rPr>
                <w:rFonts w:ascii="Montserrat" w:hAnsi="Montserrat" w:eastAsia="Montserrat" w:cs="Montserrat"/>
                <w:b w:val="0"/>
                <w:i w:val="0"/>
                <w:sz w:val="20"/>
              </w:rPr>
              <w:t>Executive Director</w:t>
            </w:r>
          </w:p>
        </w:tc>
      </w:tr>
      <w:tr>
        <w:tc>
          <w:tcPr>
            <w:tcW w:type="dxa" w:w="4333"/>
            <w:tcBorders>
              <w:top w:val="single" w:sz="4" w:space="0" w:color="D6D3D1"/>
              <w:left w:val="single" w:sz="4" w:space="0" w:color="D6D3D1"/>
              <w:bottom w:val="single" w:sz="4" w:space="0" w:color="D6D3D1"/>
              <w:right w:val="single" w:sz="4" w:space="0" w:color="D6D3D1"/>
            </w:tcBorders>
            <w:shd w:fill="F4F1EE" w:val="clear"/>
          </w:tcPr>
          <w:p>
            <w:pPr>
              <w:spacing w:after="40" w:before="40" w:line="240" w:lineRule="auto"/>
              <w:jc w:val="left"/>
            </w:pPr>
            <w:r/>
            <w:r>
              <w:rPr>
                <w:rFonts w:ascii="Montserrat" w:hAnsi="Montserrat" w:eastAsia="Montserrat" w:cs="Montserrat"/>
                <w:b w:val="0"/>
                <w:i w:val="0"/>
                <w:sz w:val="20"/>
              </w:rPr>
              <w:t>ESL</w:t>
            </w:r>
          </w:p>
        </w:tc>
        <w:tc>
          <w:tcPr>
            <w:tcW w:type="dxa" w:w="4333"/>
            <w:tcBorders>
              <w:top w:val="single" w:sz="4" w:space="0" w:color="D6D3D1"/>
              <w:left w:val="single" w:sz="4" w:space="0" w:color="D6D3D1"/>
              <w:bottom w:val="single" w:sz="4" w:space="0" w:color="D6D3D1"/>
              <w:right w:val="single" w:sz="4" w:space="0" w:color="D6D3D1"/>
            </w:tcBorders>
            <w:shd w:fill="F4F1EE" w:val="clear"/>
          </w:tcPr>
          <w:p>
            <w:pPr>
              <w:spacing w:after="40" w:before="40" w:line="240" w:lineRule="auto"/>
              <w:jc w:val="left"/>
            </w:pPr>
            <w:r/>
            <w:r>
              <w:rPr>
                <w:rFonts w:ascii="Montserrat" w:hAnsi="Montserrat" w:eastAsia="Montserrat" w:cs="Montserrat"/>
                <w:b w:val="0"/>
                <w:i w:val="0"/>
                <w:sz w:val="20"/>
              </w:rPr>
              <w:t>Emerging Servant Leaders / Emerging Servant Leadership</w:t>
            </w:r>
          </w:p>
        </w:tc>
      </w:tr>
      <w:tr>
        <w:tc>
          <w:tcPr>
            <w:tcW w:type="dxa" w:w="4333"/>
            <w:tcBorders>
              <w:top w:val="single" w:sz="4" w:space="0" w:color="D6D3D1"/>
              <w:left w:val="single" w:sz="4" w:space="0" w:color="D6D3D1"/>
              <w:bottom w:val="single" w:sz="4" w:space="0" w:color="D6D3D1"/>
              <w:right w:val="single" w:sz="4" w:space="0" w:color="D6D3D1"/>
            </w:tcBorders>
          </w:tcPr>
          <w:p>
            <w:pPr>
              <w:spacing w:after="40" w:before="40" w:line="240" w:lineRule="auto"/>
              <w:jc w:val="left"/>
            </w:pPr>
            <w:r/>
            <w:r>
              <w:rPr>
                <w:rFonts w:ascii="Montserrat" w:hAnsi="Montserrat" w:eastAsia="Montserrat" w:cs="Montserrat"/>
                <w:b w:val="0"/>
                <w:i w:val="0"/>
                <w:sz w:val="20"/>
              </w:rPr>
              <w:t>ILO</w:t>
            </w:r>
          </w:p>
        </w:tc>
        <w:tc>
          <w:tcPr>
            <w:tcW w:type="dxa" w:w="4333"/>
            <w:tcBorders>
              <w:top w:val="single" w:sz="4" w:space="0" w:color="D6D3D1"/>
              <w:left w:val="single" w:sz="4" w:space="0" w:color="D6D3D1"/>
              <w:bottom w:val="single" w:sz="4" w:space="0" w:color="D6D3D1"/>
              <w:right w:val="single" w:sz="4" w:space="0" w:color="D6D3D1"/>
            </w:tcBorders>
          </w:tcPr>
          <w:p>
            <w:pPr>
              <w:spacing w:after="40" w:before="40" w:line="240" w:lineRule="auto"/>
              <w:jc w:val="left"/>
            </w:pPr>
            <w:r/>
            <w:r>
              <w:rPr>
                <w:rFonts w:ascii="Montserrat" w:hAnsi="Montserrat" w:eastAsia="Montserrat" w:cs="Montserrat"/>
                <w:b w:val="0"/>
                <w:i w:val="0"/>
                <w:sz w:val="20"/>
              </w:rPr>
              <w:t>International Labour Organization</w:t>
            </w:r>
          </w:p>
        </w:tc>
      </w:tr>
      <w:tr>
        <w:tc>
          <w:tcPr>
            <w:tcW w:type="dxa" w:w="4333"/>
            <w:tcBorders>
              <w:top w:val="single" w:sz="4" w:space="0" w:color="D6D3D1"/>
              <w:left w:val="single" w:sz="4" w:space="0" w:color="D6D3D1"/>
              <w:bottom w:val="single" w:sz="4" w:space="0" w:color="D6D3D1"/>
              <w:right w:val="single" w:sz="4" w:space="0" w:color="D6D3D1"/>
            </w:tcBorders>
            <w:shd w:fill="F4F1EE" w:val="clear"/>
          </w:tcPr>
          <w:p>
            <w:pPr>
              <w:spacing w:after="40" w:before="40" w:line="240" w:lineRule="auto"/>
              <w:jc w:val="left"/>
            </w:pPr>
            <w:r/>
            <w:r>
              <w:rPr>
                <w:rFonts w:ascii="Montserrat" w:hAnsi="Montserrat" w:eastAsia="Montserrat" w:cs="Montserrat"/>
                <w:b w:val="0"/>
                <w:i w:val="0"/>
                <w:sz w:val="20"/>
              </w:rPr>
              <w:t>MD</w:t>
            </w:r>
          </w:p>
        </w:tc>
        <w:tc>
          <w:tcPr>
            <w:tcW w:type="dxa" w:w="4333"/>
            <w:tcBorders>
              <w:top w:val="single" w:sz="4" w:space="0" w:color="D6D3D1"/>
              <w:left w:val="single" w:sz="4" w:space="0" w:color="D6D3D1"/>
              <w:bottom w:val="single" w:sz="4" w:space="0" w:color="D6D3D1"/>
              <w:right w:val="single" w:sz="4" w:space="0" w:color="D6D3D1"/>
            </w:tcBorders>
            <w:shd w:fill="F4F1EE" w:val="clear"/>
          </w:tcPr>
          <w:p>
            <w:pPr>
              <w:spacing w:after="40" w:before="40" w:line="240" w:lineRule="auto"/>
              <w:jc w:val="left"/>
            </w:pPr>
            <w:r/>
            <w:r>
              <w:rPr>
                <w:rFonts w:ascii="Montserrat" w:hAnsi="Montserrat" w:eastAsia="Montserrat" w:cs="Montserrat"/>
                <w:b w:val="0"/>
                <w:i w:val="0"/>
                <w:sz w:val="20"/>
              </w:rPr>
              <w:t>Managing Director</w:t>
            </w:r>
          </w:p>
        </w:tc>
      </w:tr>
      <w:tr>
        <w:tc>
          <w:tcPr>
            <w:tcW w:type="dxa" w:w="4333"/>
            <w:tcBorders>
              <w:top w:val="single" w:sz="4" w:space="0" w:color="D6D3D1"/>
              <w:left w:val="single" w:sz="4" w:space="0" w:color="D6D3D1"/>
              <w:bottom w:val="single" w:sz="4" w:space="0" w:color="D6D3D1"/>
              <w:right w:val="single" w:sz="4" w:space="0" w:color="D6D3D1"/>
            </w:tcBorders>
          </w:tcPr>
          <w:p>
            <w:pPr>
              <w:spacing w:after="40" w:before="40" w:line="240" w:lineRule="auto"/>
              <w:jc w:val="left"/>
            </w:pPr>
            <w:r/>
            <w:r>
              <w:rPr>
                <w:rFonts w:ascii="Montserrat" w:hAnsi="Montserrat" w:eastAsia="Montserrat" w:cs="Montserrat"/>
                <w:b w:val="0"/>
                <w:i w:val="0"/>
                <w:sz w:val="20"/>
              </w:rPr>
              <w:t>MEARL</w:t>
            </w:r>
          </w:p>
        </w:tc>
        <w:tc>
          <w:tcPr>
            <w:tcW w:type="dxa" w:w="4333"/>
            <w:tcBorders>
              <w:top w:val="single" w:sz="4" w:space="0" w:color="D6D3D1"/>
              <w:left w:val="single" w:sz="4" w:space="0" w:color="D6D3D1"/>
              <w:bottom w:val="single" w:sz="4" w:space="0" w:color="D6D3D1"/>
              <w:right w:val="single" w:sz="4" w:space="0" w:color="D6D3D1"/>
            </w:tcBorders>
          </w:tcPr>
          <w:p>
            <w:pPr>
              <w:spacing w:after="40" w:before="40" w:line="240" w:lineRule="auto"/>
              <w:jc w:val="left"/>
            </w:pPr>
            <w:r/>
            <w:r>
              <w:rPr>
                <w:rFonts w:ascii="Montserrat" w:hAnsi="Montserrat" w:eastAsia="Montserrat" w:cs="Montserrat"/>
                <w:b w:val="0"/>
                <w:i w:val="0"/>
                <w:sz w:val="20"/>
              </w:rPr>
              <w:t>Monitoring, Evaluation, Accountability, Research, and Learning</w:t>
            </w:r>
          </w:p>
        </w:tc>
      </w:tr>
      <w:tr>
        <w:tc>
          <w:tcPr>
            <w:tcW w:type="dxa" w:w="4333"/>
            <w:tcBorders>
              <w:top w:val="single" w:sz="4" w:space="0" w:color="D6D3D1"/>
              <w:left w:val="single" w:sz="4" w:space="0" w:color="D6D3D1"/>
              <w:bottom w:val="single" w:sz="4" w:space="0" w:color="D6D3D1"/>
              <w:right w:val="single" w:sz="4" w:space="0" w:color="D6D3D1"/>
            </w:tcBorders>
            <w:shd w:fill="F4F1EE" w:val="clear"/>
          </w:tcPr>
          <w:p>
            <w:pPr>
              <w:spacing w:after="40" w:before="40" w:line="240" w:lineRule="auto"/>
              <w:jc w:val="left"/>
            </w:pPr>
            <w:r/>
            <w:r>
              <w:rPr>
                <w:rFonts w:ascii="Montserrat" w:hAnsi="Montserrat" w:eastAsia="Montserrat" w:cs="Montserrat"/>
                <w:b w:val="0"/>
                <w:i w:val="0"/>
                <w:sz w:val="20"/>
              </w:rPr>
              <w:t>MVP</w:t>
            </w:r>
          </w:p>
        </w:tc>
        <w:tc>
          <w:tcPr>
            <w:tcW w:type="dxa" w:w="4333"/>
            <w:tcBorders>
              <w:top w:val="single" w:sz="4" w:space="0" w:color="D6D3D1"/>
              <w:left w:val="single" w:sz="4" w:space="0" w:color="D6D3D1"/>
              <w:bottom w:val="single" w:sz="4" w:space="0" w:color="D6D3D1"/>
              <w:right w:val="single" w:sz="4" w:space="0" w:color="D6D3D1"/>
            </w:tcBorders>
            <w:shd w:fill="F4F1EE" w:val="clear"/>
          </w:tcPr>
          <w:p>
            <w:pPr>
              <w:spacing w:after="40" w:before="40" w:line="240" w:lineRule="auto"/>
              <w:jc w:val="left"/>
            </w:pPr>
            <w:r/>
            <w:r>
              <w:rPr>
                <w:rFonts w:ascii="Montserrat" w:hAnsi="Montserrat" w:eastAsia="Montserrat" w:cs="Montserrat"/>
                <w:b w:val="0"/>
                <w:i w:val="0"/>
                <w:sz w:val="20"/>
              </w:rPr>
              <w:t>Minimum viable product</w:t>
            </w:r>
          </w:p>
        </w:tc>
      </w:tr>
      <w:tr>
        <w:tc>
          <w:tcPr>
            <w:tcW w:type="dxa" w:w="4333"/>
            <w:tcBorders>
              <w:top w:val="single" w:sz="4" w:space="0" w:color="D6D3D1"/>
              <w:left w:val="single" w:sz="4" w:space="0" w:color="D6D3D1"/>
              <w:bottom w:val="single" w:sz="4" w:space="0" w:color="D6D3D1"/>
              <w:right w:val="single" w:sz="4" w:space="0" w:color="D6D3D1"/>
            </w:tcBorders>
          </w:tcPr>
          <w:p>
            <w:pPr>
              <w:spacing w:after="40" w:before="40" w:line="240" w:lineRule="auto"/>
              <w:jc w:val="left"/>
            </w:pPr>
            <w:r/>
            <w:r>
              <w:rPr>
                <w:rFonts w:ascii="Montserrat" w:hAnsi="Montserrat" w:eastAsia="Montserrat" w:cs="Montserrat"/>
                <w:b w:val="0"/>
                <w:i w:val="0"/>
                <w:sz w:val="20"/>
              </w:rPr>
              <w:t>NISR</w:t>
            </w:r>
          </w:p>
        </w:tc>
        <w:tc>
          <w:tcPr>
            <w:tcW w:type="dxa" w:w="4333"/>
            <w:tcBorders>
              <w:top w:val="single" w:sz="4" w:space="0" w:color="D6D3D1"/>
              <w:left w:val="single" w:sz="4" w:space="0" w:color="D6D3D1"/>
              <w:bottom w:val="single" w:sz="4" w:space="0" w:color="D6D3D1"/>
              <w:right w:val="single" w:sz="4" w:space="0" w:color="D6D3D1"/>
            </w:tcBorders>
          </w:tcPr>
          <w:p>
            <w:pPr>
              <w:spacing w:after="40" w:before="40" w:line="240" w:lineRule="auto"/>
              <w:jc w:val="left"/>
            </w:pPr>
            <w:r/>
            <w:r>
              <w:rPr>
                <w:rFonts w:ascii="Montserrat" w:hAnsi="Montserrat" w:eastAsia="Montserrat" w:cs="Montserrat"/>
                <w:b w:val="0"/>
                <w:i w:val="0"/>
                <w:sz w:val="20"/>
              </w:rPr>
              <w:t>National Institute of Statistics of Rwanda</w:t>
            </w:r>
          </w:p>
        </w:tc>
      </w:tr>
      <w:tr>
        <w:tc>
          <w:tcPr>
            <w:tcW w:type="dxa" w:w="4333"/>
            <w:tcBorders>
              <w:top w:val="single" w:sz="4" w:space="0" w:color="D6D3D1"/>
              <w:left w:val="single" w:sz="4" w:space="0" w:color="D6D3D1"/>
              <w:bottom w:val="single" w:sz="4" w:space="0" w:color="D6D3D1"/>
              <w:right w:val="single" w:sz="4" w:space="0" w:color="D6D3D1"/>
            </w:tcBorders>
            <w:shd w:fill="F4F1EE" w:val="clear"/>
          </w:tcPr>
          <w:p>
            <w:pPr>
              <w:spacing w:after="40" w:before="40" w:line="240" w:lineRule="auto"/>
              <w:jc w:val="left"/>
            </w:pPr>
            <w:r/>
            <w:r>
              <w:rPr>
                <w:rFonts w:ascii="Montserrat" w:hAnsi="Montserrat" w:eastAsia="Montserrat" w:cs="Montserrat"/>
                <w:b w:val="0"/>
                <w:i w:val="0"/>
                <w:sz w:val="20"/>
              </w:rPr>
              <w:t>NLP</w:t>
            </w:r>
          </w:p>
        </w:tc>
        <w:tc>
          <w:tcPr>
            <w:tcW w:type="dxa" w:w="4333"/>
            <w:tcBorders>
              <w:top w:val="single" w:sz="4" w:space="0" w:color="D6D3D1"/>
              <w:left w:val="single" w:sz="4" w:space="0" w:color="D6D3D1"/>
              <w:bottom w:val="single" w:sz="4" w:space="0" w:color="D6D3D1"/>
              <w:right w:val="single" w:sz="4" w:space="0" w:color="D6D3D1"/>
            </w:tcBorders>
            <w:shd w:fill="F4F1EE" w:val="clear"/>
          </w:tcPr>
          <w:p>
            <w:pPr>
              <w:spacing w:after="40" w:before="40" w:line="240" w:lineRule="auto"/>
              <w:jc w:val="left"/>
            </w:pPr>
            <w:r/>
            <w:r>
              <w:rPr>
                <w:rFonts w:ascii="Montserrat" w:hAnsi="Montserrat" w:eastAsia="Montserrat" w:cs="Montserrat"/>
                <w:b w:val="0"/>
                <w:i w:val="0"/>
                <w:sz w:val="20"/>
              </w:rPr>
              <w:t>Natural language processing</w:t>
            </w:r>
          </w:p>
        </w:tc>
      </w:tr>
      <w:tr>
        <w:tc>
          <w:tcPr>
            <w:tcW w:type="dxa" w:w="4333"/>
            <w:tcBorders>
              <w:top w:val="single" w:sz="4" w:space="0" w:color="D6D3D1"/>
              <w:left w:val="single" w:sz="4" w:space="0" w:color="D6D3D1"/>
              <w:bottom w:val="single" w:sz="4" w:space="0" w:color="D6D3D1"/>
              <w:right w:val="single" w:sz="4" w:space="0" w:color="D6D3D1"/>
            </w:tcBorders>
          </w:tcPr>
          <w:p>
            <w:pPr>
              <w:spacing w:after="40" w:before="40" w:line="240" w:lineRule="auto"/>
              <w:jc w:val="left"/>
            </w:pPr>
            <w:r/>
            <w:r>
              <w:rPr>
                <w:rFonts w:ascii="Montserrat" w:hAnsi="Montserrat" w:eastAsia="Montserrat" w:cs="Montserrat"/>
                <w:b w:val="0"/>
                <w:i w:val="0"/>
                <w:sz w:val="20"/>
              </w:rPr>
              <w:t>OS</w:t>
            </w:r>
          </w:p>
        </w:tc>
        <w:tc>
          <w:tcPr>
            <w:tcW w:type="dxa" w:w="4333"/>
            <w:tcBorders>
              <w:top w:val="single" w:sz="4" w:space="0" w:color="D6D3D1"/>
              <w:left w:val="single" w:sz="4" w:space="0" w:color="D6D3D1"/>
              <w:bottom w:val="single" w:sz="4" w:space="0" w:color="D6D3D1"/>
              <w:right w:val="single" w:sz="4" w:space="0" w:color="D6D3D1"/>
            </w:tcBorders>
          </w:tcPr>
          <w:p>
            <w:pPr>
              <w:spacing w:after="40" w:before="40" w:line="240" w:lineRule="auto"/>
              <w:jc w:val="left"/>
            </w:pPr>
            <w:r/>
            <w:r>
              <w:rPr>
                <w:rFonts w:ascii="Montserrat" w:hAnsi="Montserrat" w:eastAsia="Montserrat" w:cs="Montserrat"/>
                <w:b w:val="0"/>
                <w:i w:val="0"/>
                <w:sz w:val="20"/>
              </w:rPr>
              <w:t>Operating system</w:t>
            </w:r>
          </w:p>
        </w:tc>
      </w:tr>
      <w:tr>
        <w:tc>
          <w:tcPr>
            <w:tcW w:type="dxa" w:w="4333"/>
            <w:tcBorders>
              <w:top w:val="single" w:sz="4" w:space="0" w:color="D6D3D1"/>
              <w:left w:val="single" w:sz="4" w:space="0" w:color="D6D3D1"/>
              <w:bottom w:val="single" w:sz="4" w:space="0" w:color="D6D3D1"/>
              <w:right w:val="single" w:sz="4" w:space="0" w:color="D6D3D1"/>
            </w:tcBorders>
            <w:shd w:fill="F4F1EE" w:val="clear"/>
          </w:tcPr>
          <w:p>
            <w:pPr>
              <w:spacing w:after="40" w:before="40" w:line="240" w:lineRule="auto"/>
              <w:jc w:val="left"/>
            </w:pPr>
            <w:r/>
            <w:r>
              <w:rPr>
                <w:rFonts w:ascii="Montserrat" w:hAnsi="Montserrat" w:eastAsia="Montserrat" w:cs="Montserrat"/>
                <w:b w:val="0"/>
                <w:i w:val="0"/>
                <w:sz w:val="20"/>
              </w:rPr>
              <w:t>PESTLE</w:t>
            </w:r>
          </w:p>
        </w:tc>
        <w:tc>
          <w:tcPr>
            <w:tcW w:type="dxa" w:w="4333"/>
            <w:tcBorders>
              <w:top w:val="single" w:sz="4" w:space="0" w:color="D6D3D1"/>
              <w:left w:val="single" w:sz="4" w:space="0" w:color="D6D3D1"/>
              <w:bottom w:val="single" w:sz="4" w:space="0" w:color="D6D3D1"/>
              <w:right w:val="single" w:sz="4" w:space="0" w:color="D6D3D1"/>
            </w:tcBorders>
            <w:shd w:fill="F4F1EE" w:val="clear"/>
          </w:tcPr>
          <w:p>
            <w:pPr>
              <w:spacing w:after="40" w:before="40" w:line="240" w:lineRule="auto"/>
              <w:jc w:val="left"/>
            </w:pPr>
            <w:r/>
            <w:r>
              <w:rPr>
                <w:rFonts w:ascii="Montserrat" w:hAnsi="Montserrat" w:eastAsia="Montserrat" w:cs="Montserrat"/>
                <w:b w:val="0"/>
                <w:i w:val="0"/>
                <w:sz w:val="20"/>
              </w:rPr>
              <w:t>Political, Economic, Social, Technological, Legal, Environmental</w:t>
            </w:r>
          </w:p>
        </w:tc>
      </w:tr>
      <w:tr>
        <w:tc>
          <w:tcPr>
            <w:tcW w:type="dxa" w:w="4333"/>
            <w:tcBorders>
              <w:top w:val="single" w:sz="4" w:space="0" w:color="D6D3D1"/>
              <w:left w:val="single" w:sz="4" w:space="0" w:color="D6D3D1"/>
              <w:bottom w:val="single" w:sz="4" w:space="0" w:color="D6D3D1"/>
              <w:right w:val="single" w:sz="4" w:space="0" w:color="D6D3D1"/>
            </w:tcBorders>
          </w:tcPr>
          <w:p>
            <w:pPr>
              <w:spacing w:after="40" w:before="40" w:line="240" w:lineRule="auto"/>
              <w:jc w:val="left"/>
            </w:pPr>
            <w:r/>
            <w:r>
              <w:rPr>
                <w:rFonts w:ascii="Montserrat" w:hAnsi="Montserrat" w:eastAsia="Montserrat" w:cs="Montserrat"/>
                <w:b w:val="0"/>
                <w:i w:val="0"/>
                <w:sz w:val="20"/>
              </w:rPr>
              <w:t>RGB</w:t>
            </w:r>
          </w:p>
        </w:tc>
        <w:tc>
          <w:tcPr>
            <w:tcW w:type="dxa" w:w="4333"/>
            <w:tcBorders>
              <w:top w:val="single" w:sz="4" w:space="0" w:color="D6D3D1"/>
              <w:left w:val="single" w:sz="4" w:space="0" w:color="D6D3D1"/>
              <w:bottom w:val="single" w:sz="4" w:space="0" w:color="D6D3D1"/>
              <w:right w:val="single" w:sz="4" w:space="0" w:color="D6D3D1"/>
            </w:tcBorders>
          </w:tcPr>
          <w:p>
            <w:pPr>
              <w:spacing w:after="40" w:before="40" w:line="240" w:lineRule="auto"/>
              <w:jc w:val="left"/>
            </w:pPr>
            <w:r/>
            <w:r>
              <w:rPr>
                <w:rFonts w:ascii="Montserrat" w:hAnsi="Montserrat" w:eastAsia="Montserrat" w:cs="Montserrat"/>
                <w:b w:val="0"/>
                <w:i w:val="0"/>
                <w:sz w:val="20"/>
              </w:rPr>
              <w:t>Rwanda Governance Board</w:t>
            </w:r>
          </w:p>
        </w:tc>
      </w:tr>
      <w:tr>
        <w:tc>
          <w:tcPr>
            <w:tcW w:type="dxa" w:w="4333"/>
            <w:tcBorders>
              <w:top w:val="single" w:sz="4" w:space="0" w:color="D6D3D1"/>
              <w:left w:val="single" w:sz="4" w:space="0" w:color="D6D3D1"/>
              <w:bottom w:val="single" w:sz="4" w:space="0" w:color="D6D3D1"/>
              <w:right w:val="single" w:sz="4" w:space="0" w:color="D6D3D1"/>
            </w:tcBorders>
            <w:shd w:fill="F4F1EE" w:val="clear"/>
          </w:tcPr>
          <w:p>
            <w:pPr>
              <w:spacing w:after="40" w:before="40" w:line="240" w:lineRule="auto"/>
              <w:jc w:val="left"/>
            </w:pPr>
            <w:r/>
            <w:r>
              <w:rPr>
                <w:rFonts w:ascii="Montserrat" w:hAnsi="Montserrat" w:eastAsia="Montserrat" w:cs="Montserrat"/>
                <w:b w:val="0"/>
                <w:i w:val="0"/>
                <w:sz w:val="20"/>
              </w:rPr>
              <w:t>SDG</w:t>
            </w:r>
          </w:p>
        </w:tc>
        <w:tc>
          <w:tcPr>
            <w:tcW w:type="dxa" w:w="4333"/>
            <w:tcBorders>
              <w:top w:val="single" w:sz="4" w:space="0" w:color="D6D3D1"/>
              <w:left w:val="single" w:sz="4" w:space="0" w:color="D6D3D1"/>
              <w:bottom w:val="single" w:sz="4" w:space="0" w:color="D6D3D1"/>
              <w:right w:val="single" w:sz="4" w:space="0" w:color="D6D3D1"/>
            </w:tcBorders>
            <w:shd w:fill="F4F1EE" w:val="clear"/>
          </w:tcPr>
          <w:p>
            <w:pPr>
              <w:spacing w:after="40" w:before="40" w:line="240" w:lineRule="auto"/>
              <w:jc w:val="left"/>
            </w:pPr>
            <w:r/>
            <w:r>
              <w:rPr>
                <w:rFonts w:ascii="Montserrat" w:hAnsi="Montserrat" w:eastAsia="Montserrat" w:cs="Montserrat"/>
                <w:b w:val="0"/>
                <w:i w:val="0"/>
                <w:sz w:val="20"/>
              </w:rPr>
              <w:t>Sustainable Development Goal</w:t>
            </w:r>
          </w:p>
        </w:tc>
      </w:tr>
      <w:tr>
        <w:tc>
          <w:tcPr>
            <w:tcW w:type="dxa" w:w="4333"/>
            <w:tcBorders>
              <w:top w:val="single" w:sz="4" w:space="0" w:color="D6D3D1"/>
              <w:left w:val="single" w:sz="4" w:space="0" w:color="D6D3D1"/>
              <w:bottom w:val="single" w:sz="4" w:space="0" w:color="D6D3D1"/>
              <w:right w:val="single" w:sz="4" w:space="0" w:color="D6D3D1"/>
            </w:tcBorders>
          </w:tcPr>
          <w:p>
            <w:pPr>
              <w:spacing w:after="40" w:before="40" w:line="240" w:lineRule="auto"/>
              <w:jc w:val="left"/>
            </w:pPr>
            <w:r/>
            <w:r>
              <w:rPr>
                <w:rFonts w:ascii="Montserrat" w:hAnsi="Montserrat" w:eastAsia="Montserrat" w:cs="Montserrat"/>
                <w:b w:val="0"/>
                <w:i w:val="0"/>
                <w:sz w:val="20"/>
              </w:rPr>
              <w:t>SWOT</w:t>
            </w:r>
          </w:p>
        </w:tc>
        <w:tc>
          <w:tcPr>
            <w:tcW w:type="dxa" w:w="4333"/>
            <w:tcBorders>
              <w:top w:val="single" w:sz="4" w:space="0" w:color="D6D3D1"/>
              <w:left w:val="single" w:sz="4" w:space="0" w:color="D6D3D1"/>
              <w:bottom w:val="single" w:sz="4" w:space="0" w:color="D6D3D1"/>
              <w:right w:val="single" w:sz="4" w:space="0" w:color="D6D3D1"/>
            </w:tcBorders>
          </w:tcPr>
          <w:p>
            <w:pPr>
              <w:spacing w:after="40" w:before="40" w:line="240" w:lineRule="auto"/>
              <w:jc w:val="left"/>
            </w:pPr>
            <w:r/>
            <w:r>
              <w:rPr>
                <w:rFonts w:ascii="Montserrat" w:hAnsi="Montserrat" w:eastAsia="Montserrat" w:cs="Montserrat"/>
                <w:b w:val="0"/>
                <w:i w:val="0"/>
                <w:sz w:val="20"/>
              </w:rPr>
              <w:t>Strengths, Weaknesses, Opportunities, Threats</w:t>
            </w:r>
          </w:p>
        </w:tc>
      </w:tr>
    </w:tbl>
    <w:p/>
    <w:p>
      <w:r>
        <w:br w:type="page"/>
      </w:r>
    </w:p>
    <w:p>
      <w:pPr>
        <w:spacing w:after="200" w:before="0" w:line="276" w:lineRule="auto"/>
        <w:jc w:val="left"/>
      </w:pPr>
      <w:r>
        <w:rPr>
          <w:rFonts w:ascii="Montserrat" w:hAnsi="Montserrat" w:eastAsia="Montserrat" w:cs="Montserrat"/>
          <w:b/>
          <w:i w:val="0"/>
          <w:color w:val="0D1B2A"/>
          <w:sz w:val="24"/>
        </w:rPr>
        <w:t>TABLE OF CONTENTS</w:t>
      </w:r>
    </w:p>
    <w:p>
      <w:pPr>
        <w:spacing w:after="40" w:before="0" w:line="360" w:lineRule="auto"/>
        <w:jc w:val="left"/>
      </w:pPr>
      <w:r>
        <w:rPr>
          <w:rFonts w:ascii="Montserrat" w:hAnsi="Montserrat" w:eastAsia="Montserrat" w:cs="Montserrat"/>
          <w:b w:val="0"/>
          <w:i w:val="0"/>
          <w:sz w:val="22"/>
        </w:rPr>
        <w:t>Declaration ……………………………………………………………… ii</w:t>
      </w:r>
    </w:p>
    <w:p>
      <w:pPr>
        <w:spacing w:after="40" w:before="0" w:line="360" w:lineRule="auto"/>
        <w:jc w:val="left"/>
      </w:pPr>
      <w:r>
        <w:rPr>
          <w:rFonts w:ascii="Montserrat" w:hAnsi="Montserrat" w:eastAsia="Montserrat" w:cs="Montserrat"/>
          <w:b w:val="0"/>
          <w:i w:val="0"/>
          <w:sz w:val="22"/>
        </w:rPr>
        <w:t>Dedication ……………………………………………………………… iii</w:t>
      </w:r>
    </w:p>
    <w:p>
      <w:pPr>
        <w:spacing w:after="40" w:before="0" w:line="360" w:lineRule="auto"/>
        <w:jc w:val="left"/>
      </w:pPr>
      <w:r>
        <w:rPr>
          <w:rFonts w:ascii="Montserrat" w:hAnsi="Montserrat" w:eastAsia="Montserrat" w:cs="Montserrat"/>
          <w:b w:val="0"/>
          <w:i w:val="0"/>
          <w:sz w:val="22"/>
        </w:rPr>
        <w:t>Acknowledgements …………………………………………………… iii</w:t>
      </w:r>
    </w:p>
    <w:p>
      <w:pPr>
        <w:spacing w:after="40" w:before="0" w:line="360" w:lineRule="auto"/>
        <w:jc w:val="left"/>
      </w:pPr>
      <w:r>
        <w:rPr>
          <w:rFonts w:ascii="Montserrat" w:hAnsi="Montserrat" w:eastAsia="Montserrat" w:cs="Montserrat"/>
          <w:b w:val="0"/>
          <w:i w:val="0"/>
          <w:sz w:val="22"/>
        </w:rPr>
        <w:t>Executive Summary …………………………………………………… iv</w:t>
      </w:r>
    </w:p>
    <w:p>
      <w:pPr>
        <w:spacing w:after="40" w:before="0" w:line="360" w:lineRule="auto"/>
        <w:jc w:val="left"/>
      </w:pPr>
      <w:r>
        <w:rPr>
          <w:rFonts w:ascii="Montserrat" w:hAnsi="Montserrat" w:eastAsia="Montserrat" w:cs="Montserrat"/>
          <w:b w:val="0"/>
          <w:i w:val="0"/>
          <w:sz w:val="22"/>
        </w:rPr>
        <w:t>List of Abbreviations ………………………………………………… v</w:t>
      </w:r>
    </w:p>
    <w:p>
      <w:pPr>
        <w:spacing w:after="40" w:before="0" w:line="360" w:lineRule="auto"/>
        <w:jc w:val="left"/>
      </w:pPr>
      <w:r>
        <w:rPr>
          <w:rFonts w:ascii="Montserrat" w:hAnsi="Montserrat" w:eastAsia="Montserrat" w:cs="Montserrat"/>
          <w:b w:val="0"/>
          <w:i w:val="0"/>
          <w:sz w:val="22"/>
        </w:rPr>
        <w:t>Table of Contents …………………………………………………… vi</w:t>
      </w:r>
    </w:p>
    <w:p>
      <w:pPr>
        <w:spacing w:after="40" w:before="0" w:line="360" w:lineRule="auto"/>
        <w:jc w:val="left"/>
      </w:pPr>
      <w:r>
        <w:rPr>
          <w:rFonts w:ascii="Montserrat" w:hAnsi="Montserrat" w:eastAsia="Montserrat" w:cs="Montserrat"/>
          <w:b w:val="0"/>
          <w:i w:val="0"/>
          <w:sz w:val="22"/>
        </w:rPr>
        <w:t>List of Tables ………………………………………………………… vi</w:t>
      </w:r>
    </w:p>
    <w:p>
      <w:pPr>
        <w:spacing w:after="40" w:before="0" w:line="360" w:lineRule="auto"/>
        <w:jc w:val="left"/>
      </w:pPr>
      <w:r>
        <w:rPr>
          <w:rFonts w:ascii="Montserrat" w:hAnsi="Montserrat" w:eastAsia="Montserrat" w:cs="Montserrat"/>
          <w:b w:val="0"/>
          <w:i w:val="0"/>
          <w:sz w:val="22"/>
        </w:rPr>
        <w:t>Chapter One: Introduction and Project Context …………………… 1</w:t>
      </w:r>
    </w:p>
    <w:p>
      <w:pPr>
        <w:spacing w:after="40" w:before="0" w:line="360" w:lineRule="auto"/>
        <w:jc w:val="left"/>
      </w:pPr>
      <w:r>
        <w:rPr>
          <w:rFonts w:ascii="Montserrat" w:hAnsi="Montserrat" w:eastAsia="Montserrat" w:cs="Montserrat"/>
          <w:b w:val="0"/>
          <w:i w:val="0"/>
          <w:sz w:val="22"/>
        </w:rPr>
        <w:t>Chapter Two: Situational Analysis and Strategic Insights ………… 4</w:t>
      </w:r>
    </w:p>
    <w:p>
      <w:pPr>
        <w:spacing w:after="40" w:before="0" w:line="360" w:lineRule="auto"/>
        <w:jc w:val="left"/>
      </w:pPr>
      <w:r>
        <w:rPr>
          <w:rFonts w:ascii="Montserrat" w:hAnsi="Montserrat" w:eastAsia="Montserrat" w:cs="Montserrat"/>
          <w:b w:val="0"/>
          <w:i w:val="0"/>
          <w:sz w:val="22"/>
        </w:rPr>
        <w:t>Chapter Three: Solution Design and Approach …………………… 8</w:t>
      </w:r>
    </w:p>
    <w:p>
      <w:pPr>
        <w:spacing w:after="40" w:before="0" w:line="360" w:lineRule="auto"/>
        <w:jc w:val="left"/>
      </w:pPr>
      <w:r>
        <w:rPr>
          <w:rFonts w:ascii="Montserrat" w:hAnsi="Montserrat" w:eastAsia="Montserrat" w:cs="Montserrat"/>
          <w:b w:val="0"/>
          <w:i w:val="0"/>
          <w:sz w:val="22"/>
        </w:rPr>
        <w:t>Chapter Four: Implementation, Results and Evaluation ………… 12</w:t>
      </w:r>
    </w:p>
    <w:p>
      <w:pPr>
        <w:spacing w:after="40" w:before="0" w:line="360" w:lineRule="auto"/>
        <w:jc w:val="left"/>
      </w:pPr>
      <w:r>
        <w:rPr>
          <w:rFonts w:ascii="Montserrat" w:hAnsi="Montserrat" w:eastAsia="Montserrat" w:cs="Montserrat"/>
          <w:b w:val="0"/>
          <w:i w:val="0"/>
          <w:sz w:val="22"/>
        </w:rPr>
        <w:t>Chapter Five: Sustainability, Scalability and Strategic Recommendations  16</w:t>
      </w:r>
    </w:p>
    <w:p>
      <w:pPr>
        <w:spacing w:after="40" w:before="0" w:line="360" w:lineRule="auto"/>
        <w:jc w:val="left"/>
      </w:pPr>
      <w:r>
        <w:rPr>
          <w:rFonts w:ascii="Montserrat" w:hAnsi="Montserrat" w:eastAsia="Montserrat" w:cs="Montserrat"/>
          <w:b w:val="0"/>
          <w:i w:val="0"/>
          <w:sz w:val="22"/>
        </w:rPr>
        <w:t>References …………………………………………………………… 20</w:t>
      </w:r>
    </w:p>
    <w:p>
      <w:pPr>
        <w:spacing w:after="40" w:before="0" w:line="360" w:lineRule="auto"/>
        <w:jc w:val="left"/>
      </w:pPr>
      <w:r>
        <w:rPr>
          <w:rFonts w:ascii="Montserrat" w:hAnsi="Montserrat" w:eastAsia="Montserrat" w:cs="Montserrat"/>
          <w:b w:val="0"/>
          <w:i w:val="0"/>
          <w:sz w:val="22"/>
        </w:rPr>
        <w:t>Appendices …………………………………………………………… 21</w:t>
      </w:r>
    </w:p>
    <w:p>
      <w:pPr>
        <w:spacing w:after="200" w:before="240" w:line="276" w:lineRule="auto"/>
        <w:jc w:val="left"/>
      </w:pPr>
      <w:r>
        <w:rPr>
          <w:rFonts w:ascii="Montserrat" w:hAnsi="Montserrat" w:eastAsia="Montserrat" w:cs="Montserrat"/>
          <w:b/>
          <w:i w:val="0"/>
          <w:color w:val="0D1B2A"/>
          <w:sz w:val="24"/>
        </w:rPr>
        <w:t>LIST OF TABLES</w:t>
      </w:r>
    </w:p>
    <w:p>
      <w:pPr>
        <w:spacing w:after="40" w:before="0" w:line="360" w:lineRule="auto"/>
        <w:jc w:val="left"/>
      </w:pPr>
      <w:r>
        <w:rPr>
          <w:rFonts w:ascii="Montserrat" w:hAnsi="Montserrat" w:eastAsia="Montserrat" w:cs="Montserrat"/>
          <w:b w:val="0"/>
          <w:i w:val="0"/>
          <w:sz w:val="22"/>
        </w:rPr>
        <w:t>Table 2.1 Stakeholder analysis …………………………………… Chapter Two</w:t>
      </w:r>
    </w:p>
    <w:p>
      <w:pPr>
        <w:spacing w:after="40" w:before="0" w:line="360" w:lineRule="auto"/>
        <w:jc w:val="left"/>
      </w:pPr>
      <w:r>
        <w:rPr>
          <w:rFonts w:ascii="Montserrat" w:hAnsi="Montserrat" w:eastAsia="Montserrat" w:cs="Montserrat"/>
          <w:b w:val="0"/>
          <w:i w:val="0"/>
          <w:sz w:val="22"/>
        </w:rPr>
        <w:t>Table 2.2 Risk assessment ………………………………………… Chapter Two</w:t>
      </w:r>
    </w:p>
    <w:p>
      <w:pPr>
        <w:spacing w:after="40" w:before="0" w:line="360" w:lineRule="auto"/>
        <w:jc w:val="left"/>
      </w:pPr>
      <w:r>
        <w:rPr>
          <w:rFonts w:ascii="Montserrat" w:hAnsi="Montserrat" w:eastAsia="Montserrat" w:cs="Montserrat"/>
          <w:b w:val="0"/>
          <w:i w:val="0"/>
          <w:sz w:val="22"/>
        </w:rPr>
        <w:t>Table 4.1 Programme and platform impact inventory ………… Chapter Four</w:t>
      </w:r>
    </w:p>
    <w:p>
      <w:pPr>
        <w:spacing w:after="40" w:before="0" w:line="360" w:lineRule="auto"/>
        <w:jc w:val="left"/>
      </w:pPr>
      <w:r>
        <w:rPr>
          <w:rFonts w:ascii="Montserrat" w:hAnsi="Montserrat" w:eastAsia="Montserrat" w:cs="Montserrat"/>
          <w:b w:val="0"/>
          <w:i w:val="0"/>
          <w:sz w:val="22"/>
        </w:rPr>
        <w:t>Table 4.2 Sample-cohort model KPIs …………………………… Chapter Four</w:t>
      </w:r>
    </w:p>
    <w:p>
      <w:pPr>
        <w:spacing w:after="40" w:before="0" w:line="360" w:lineRule="auto"/>
        <w:jc w:val="left"/>
      </w:pPr>
      <w:r>
        <w:rPr>
          <w:rFonts w:ascii="Montserrat" w:hAnsi="Montserrat" w:eastAsia="Montserrat" w:cs="Montserrat"/>
          <w:b w:val="0"/>
          <w:i w:val="0"/>
          <w:sz w:val="22"/>
        </w:rPr>
        <w:t>Table 4.3 Performance measurement framework ……………… Chapter Four</w:t>
      </w:r>
    </w:p>
    <w:p>
      <w:pPr>
        <w:spacing w:after="40" w:before="0" w:line="360" w:lineRule="auto"/>
        <w:jc w:val="left"/>
      </w:pPr>
      <w:r>
        <w:rPr>
          <w:rFonts w:ascii="Montserrat" w:hAnsi="Montserrat" w:eastAsia="Montserrat" w:cs="Montserrat"/>
          <w:b w:val="0"/>
          <w:i w:val="0"/>
          <w:sz w:val="22"/>
        </w:rPr>
        <w:t>Table 5.1 Future risks and mitigation …………………………… Chapter Five</w:t>
      </w:r>
    </w:p>
    <w:p>
      <w:pPr>
        <w:sectPr>
          <w:headerReference w:type="default" r:id="rId12"/>
          <w:footerReference w:type="default" r:id="rId13"/>
          <w:pgSz w:w="11906" w:h="16838"/>
          <w:pgMar w:top="1440" w:right="1440" w:bottom="1440" w:left="1800" w:header="720" w:footer="720" w:gutter="0"/>
          <w:cols w:space="720"/>
          <w:docGrid w:linePitch="360"/>
          <w:pgNumType w:start="2" w:fmt="lowerRoman"/>
        </w:sectPr>
      </w:pPr>
    </w:p>
    <w:p>
      <w:pPr>
        <w:spacing w:after="240" w:before="0" w:line="276" w:lineRule="auto"/>
        <w:jc w:val="left"/>
      </w:pPr>
      <w:r>
        <w:rPr>
          <w:rFonts w:ascii="Montserrat" w:hAnsi="Montserrat" w:eastAsia="Montserrat" w:cs="Montserrat"/>
          <w:b/>
          <w:i w:val="0"/>
          <w:color w:val="0D1B2A"/>
          <w:sz w:val="24"/>
        </w:rPr>
        <w:t>CHAPTER ONE: INTRODUCTION AND PROJECT CONTEXT</w:t>
      </w:r>
    </w:p>
    <w:p>
      <w:pPr>
        <w:spacing w:after="120" w:before="240" w:line="276" w:lineRule="auto"/>
        <w:jc w:val="left"/>
      </w:pPr>
      <w:r>
        <w:rPr>
          <w:rFonts w:ascii="Montserrat" w:hAnsi="Montserrat" w:eastAsia="Montserrat" w:cs="Montserrat"/>
          <w:b/>
          <w:i w:val="0"/>
          <w:color w:val="0D1B2A"/>
          <w:sz w:val="22"/>
        </w:rPr>
        <w:t>1.1 Background of the Project</w:t>
      </w:r>
    </w:p>
    <w:p>
      <w:pPr>
        <w:spacing w:after="160" w:before="0" w:line="360" w:lineRule="auto"/>
        <w:jc w:val="both"/>
      </w:pPr>
      <w:r>
        <w:rPr>
          <w:rFonts w:ascii="Montserrat" w:hAnsi="Montserrat" w:eastAsia="Montserrat" w:cs="Montserrat"/>
          <w:b w:val="0"/>
          <w:i w:val="0"/>
          <w:sz w:val="22"/>
        </w:rPr>
        <w:t>This Capstone II project implements JointHub Africa in Rwanda as The Mentor Hub: an AI-powered Mentorship Dashboard that is the digital operating system (OS) for SimpleJoint Trust’s Emerging Servant Leaders (ESL) programme. It is not a hypothetical case, and it is not a replacement for ESL. ESL remains the human and programme layer. The Mentor Hub operates ESL digitally so that scholars, mentors, and administrators can run opportunity intelligence, mentorship, and dropout-risk operations as a hub rather than only as an in-person cohort.</w:t>
      </w:r>
    </w:p>
    <w:p>
      <w:pPr>
        <w:spacing w:after="160" w:before="0" w:line="360" w:lineRule="auto"/>
        <w:jc w:val="both"/>
      </w:pPr>
      <w:r>
        <w:rPr>
          <w:rFonts w:ascii="Montserrat" w:hAnsi="Montserrat" w:eastAsia="Montserrat" w:cs="Montserrat"/>
          <w:b w:val="0"/>
          <w:i w:val="0"/>
          <w:sz w:val="22"/>
        </w:rPr>
        <w:t>The project sits on a three-beat learning arc.</w:t>
      </w:r>
    </w:p>
    <w:p>
      <w:pPr>
        <w:spacing w:after="160" w:before="0" w:line="360" w:lineRule="auto"/>
        <w:jc w:val="both"/>
      </w:pPr>
      <w:r>
        <w:rPr>
          <w:rFonts w:ascii="Montserrat" w:hAnsi="Montserrat" w:eastAsia="Montserrat" w:cs="Montserrat"/>
          <w:b w:val="0"/>
          <w:i w:val="0"/>
          <w:sz w:val="22"/>
        </w:rPr>
        <w:t>First, Capstone I. Isaiah Kporon led a Digital Campaign for the SDGs. That campaign proposed a sustainability education programme to empower youth in Africa in partnership with SimpleJoint. Digital campaigning showed that young people need more than awareness of the Goals: they need practical, visible pathways and programme systems that convert intention into application, mentorship, and service.</w:t>
      </w:r>
    </w:p>
    <w:p>
      <w:pPr>
        <w:spacing w:after="160" w:before="0" w:line="360" w:lineRule="auto"/>
        <w:jc w:val="both"/>
      </w:pPr>
      <w:r>
        <w:rPr>
          <w:rFonts w:ascii="Montserrat" w:hAnsi="Montserrat" w:eastAsia="Montserrat" w:cs="Montserrat"/>
          <w:b w:val="0"/>
          <w:i w:val="0"/>
          <w:sz w:val="22"/>
        </w:rPr>
        <w:t>Second, the programme design that followed Capstone I. The campaign logic was operationalised as SimpleJoint Trust’s Emerging Servant Leaders (ESL) programme. ESL is the human layer: scholars, mentors, community, and servant-leadership formation. The founder-owned SimpleJoint / ESL programme and platform inventory, which is not a model-accuracy claim, is:</w:t>
      </w:r>
    </w:p>
    <w:p>
      <w:pPr>
        <w:pStyle w:val="ListBullet"/>
        <w:spacing w:after="80" w:before="0" w:line="360" w:lineRule="auto"/>
        <w:jc w:val="both"/>
      </w:pPr>
      <w:r>
        <w:rPr>
          <w:rFonts w:ascii="Montserrat" w:hAnsi="Montserrat" w:eastAsia="Montserrat" w:cs="Montserrat"/>
          <w:b w:val="0"/>
          <w:i w:val="0"/>
          <w:sz w:val="22"/>
        </w:rPr>
        <w:t>6+ countries represented, including Rwanda</w:t>
      </w:r>
    </w:p>
    <w:p>
      <w:pPr>
        <w:pStyle w:val="ListBullet"/>
        <w:spacing w:after="80" w:before="0" w:line="360" w:lineRule="auto"/>
        <w:jc w:val="both"/>
      </w:pPr>
      <w:r>
        <w:rPr>
          <w:rFonts w:ascii="Montserrat" w:hAnsi="Montserrat" w:eastAsia="Montserrat" w:cs="Montserrat"/>
          <w:b w:val="0"/>
          <w:i w:val="0"/>
          <w:sz w:val="22"/>
        </w:rPr>
        <w:t>153+ opportunities listed</w:t>
      </w:r>
    </w:p>
    <w:p>
      <w:pPr>
        <w:pStyle w:val="ListBullet"/>
        <w:spacing w:after="80" w:before="0" w:line="360" w:lineRule="auto"/>
        <w:jc w:val="both"/>
      </w:pPr>
      <w:r>
        <w:rPr>
          <w:rFonts w:ascii="Montserrat" w:hAnsi="Montserrat" w:eastAsia="Montserrat" w:cs="Montserrat"/>
          <w:b w:val="0"/>
          <w:i w:val="0"/>
          <w:sz w:val="22"/>
        </w:rPr>
        <w:t>85+ students supported</w:t>
      </w:r>
    </w:p>
    <w:p>
      <w:pPr>
        <w:pStyle w:val="ListBullet"/>
        <w:spacing w:after="80" w:before="0" w:line="360" w:lineRule="auto"/>
        <w:jc w:val="both"/>
      </w:pPr>
      <w:r>
        <w:rPr>
          <w:rFonts w:ascii="Montserrat" w:hAnsi="Montserrat" w:eastAsia="Montserrat" w:cs="Montserrat"/>
          <w:b w:val="0"/>
          <w:i w:val="0"/>
          <w:sz w:val="22"/>
        </w:rPr>
        <w:t>The Mentor Hub — an AI-powered Mentorship Dashboard</w:t>
      </w:r>
    </w:p>
    <w:p>
      <w:pPr>
        <w:spacing w:after="160" w:before="0" w:line="360" w:lineRule="auto"/>
        <w:jc w:val="both"/>
      </w:pPr>
      <w:r>
        <w:rPr>
          <w:rFonts w:ascii="Montserrat" w:hAnsi="Montserrat" w:eastAsia="Montserrat" w:cs="Montserrat"/>
          <w:b w:val="0"/>
          <w:i w:val="0"/>
          <w:sz w:val="22"/>
        </w:rPr>
        <w:t>Separately, still in the programme-impact bucket, scholars have secured $158,000+ in scholarships and grants (SimpleJoint Trust, 2026a, 2026d). Adjacent programme-quality pulses are 100% post-mentorship interview confidence and 88% leadership/service readiness. Product architecture (opportunity ranking, mentor assignment, dropout-risk scoring, NLP explanation) is how the OS works. It is not a headline impact statistic.</w:t>
      </w:r>
    </w:p>
    <w:p>
      <w:pPr>
        <w:spacing w:after="160" w:before="0" w:line="360" w:lineRule="auto"/>
        <w:jc w:val="both"/>
      </w:pPr>
      <w:r>
        <w:rPr>
          <w:rFonts w:ascii="Montserrat" w:hAnsi="Montserrat" w:eastAsia="Montserrat" w:cs="Montserrat"/>
          <w:b w:val="0"/>
          <w:i w:val="0"/>
          <w:sz w:val="22"/>
        </w:rPr>
        <w:t>Third, Capstone II. JointHub Africa in Rwanda, specifically The Mentor Hub, is the AI-powered Mentorship Dashboard and digital OS that runs ESL. Primary users are ESL scholars. Mentors and programme administrators support the same programme. Capstone II’s contribution is building and implementing that OS around the ESL design, not inventing ESL from scratch, and not replacing the human programme with software. A bootcamp is the intended launch vehicle that activates the OS inside the ESL cohort.</w:t>
      </w:r>
    </w:p>
    <w:p>
      <w:pPr>
        <w:spacing w:after="160" w:before="0" w:line="360" w:lineRule="auto"/>
        <w:jc w:val="both"/>
      </w:pPr>
      <w:r>
        <w:rPr>
          <w:rFonts w:ascii="Montserrat" w:hAnsi="Montserrat" w:eastAsia="Montserrat" w:cs="Montserrat"/>
          <w:b w:val="0"/>
          <w:i w:val="0"/>
          <w:sz w:val="22"/>
        </w:rPr>
        <w:t>SimpleJoint Trust is a Rwanda-registered nonprofit based in Kigali. Its mission is to empower the next generation of emerging leaders with the mind tools for human development (SimpleJoint Trust, 2026d). Staging is live at https://staging.app.simplejoint-trust-4b4a02.cofounder.company/. Production publication remains gated on live data, mentor supply, and Executive Director / Managing Director approval.</w:t>
      </w:r>
    </w:p>
    <w:p>
      <w:pPr>
        <w:spacing w:after="120" w:before="240" w:line="276" w:lineRule="auto"/>
        <w:jc w:val="left"/>
      </w:pPr>
      <w:r>
        <w:rPr>
          <w:rFonts w:ascii="Montserrat" w:hAnsi="Montserrat" w:eastAsia="Montserrat" w:cs="Montserrat"/>
          <w:b/>
          <w:i w:val="0"/>
          <w:color w:val="0D1B2A"/>
          <w:sz w:val="22"/>
        </w:rPr>
        <w:t>1.2 Problem Statement / Opportunity Identification</w:t>
      </w:r>
    </w:p>
    <w:p>
      <w:pPr>
        <w:spacing w:after="160" w:before="0" w:line="360" w:lineRule="auto"/>
        <w:jc w:val="both"/>
      </w:pPr>
      <w:r>
        <w:rPr>
          <w:rFonts w:ascii="Montserrat" w:hAnsi="Montserrat" w:eastAsia="Montserrat" w:cs="Montserrat"/>
          <w:b w:val="0"/>
          <w:i w:val="0"/>
          <w:sz w:val="22"/>
        </w:rPr>
        <w:t>African youth face a navigation problem inside a labour-market problem. NISR (2025) reports youth unemployment of 13.6% versus 9.5% for adults, and youth underutilization of 54.5%. ILO (2024) places sub-Saharan Africa’s youth NEET rate at 21.9%. AfDB (2025) restates the familiar gap between labour-market entrants and formal jobs. Skills training alone does not always convert to durable income when liquidity and pathway barriers remain (McIntosh &amp; Zeitlin, 2022).</w:t>
      </w:r>
    </w:p>
    <w:p>
      <w:pPr>
        <w:spacing w:after="160" w:before="0" w:line="360" w:lineRule="auto"/>
        <w:jc w:val="both"/>
      </w:pPr>
      <w:r>
        <w:rPr>
          <w:rFonts w:ascii="Montserrat" w:hAnsi="Montserrat" w:eastAsia="Montserrat" w:cs="Montserrat"/>
          <w:b w:val="0"/>
          <w:i w:val="0"/>
          <w:sz w:val="22"/>
        </w:rPr>
        <w:t>Isaiah’s Skill-Link Rwanda business plan, used here as the organisation’s planning document for why the work is based in Rwanda, records the same 13.6% / &gt;50% pair and a Gasabo demand signal: 85% of surveyed youth reported difficulty accessing opportunities; 57.1% wanted career guidance; 52.4% wanted job matching; 52.4% wanted mentorship; 61.9% preferred hybrid delivery (Kporon, n.d.). Those percentages are organisational planning evidence, not a national sample.</w:t>
      </w:r>
    </w:p>
    <w:p>
      <w:pPr>
        <w:spacing w:after="160" w:before="0" w:line="360" w:lineRule="auto"/>
        <w:jc w:val="both"/>
      </w:pPr>
      <w:r>
        <w:rPr>
          <w:rFonts w:ascii="Montserrat" w:hAnsi="Montserrat" w:eastAsia="Montserrat" w:cs="Montserrat"/>
          <w:b w:val="0"/>
          <w:i w:val="0"/>
          <w:sz w:val="22"/>
        </w:rPr>
        <w:t>Listing sites (Opportunity Desk, After School Africa, Scholars4Dev) and mentor marketplaces do not run ESL: they do not rank a named cohort’s opportunities with explanations, assign mentors under capacity constraints, or give staff a human-overridden dropout-risk queue (SimpleJoint Trust, 2026c). The opportunity for Capstone II is therefore an operating system for an existing programme, not another catalogue.</w:t>
      </w:r>
    </w:p>
    <w:p>
      <w:pPr>
        <w:spacing w:after="120" w:before="240" w:line="276" w:lineRule="auto"/>
        <w:jc w:val="left"/>
      </w:pPr>
      <w:r>
        <w:rPr>
          <w:rFonts w:ascii="Montserrat" w:hAnsi="Montserrat" w:eastAsia="Montserrat" w:cs="Montserrat"/>
          <w:b/>
          <w:i w:val="0"/>
          <w:color w:val="0D1B2A"/>
          <w:sz w:val="22"/>
        </w:rPr>
        <w:t>1.3 Purpose and Rationale of the Project</w:t>
      </w:r>
    </w:p>
    <w:p>
      <w:pPr>
        <w:spacing w:after="160" w:before="0" w:line="360" w:lineRule="auto"/>
        <w:jc w:val="both"/>
      </w:pPr>
      <w:r>
        <w:rPr>
          <w:rFonts w:ascii="Montserrat" w:hAnsi="Montserrat" w:eastAsia="Montserrat" w:cs="Montserrat"/>
          <w:b w:val="0"/>
          <w:i w:val="0"/>
          <w:sz w:val="22"/>
        </w:rPr>
        <w:t>The purpose is to design, implement, and evaluate The Mentor Hub as the OS that runs ESL in Rwanda, with a bootcamp specified as the intended launch path.</w:t>
      </w:r>
    </w:p>
    <w:p>
      <w:pPr>
        <w:spacing w:after="160" w:before="0" w:line="360" w:lineRule="auto"/>
        <w:jc w:val="both"/>
      </w:pPr>
      <w:r>
        <w:rPr>
          <w:rFonts w:ascii="Montserrat" w:hAnsi="Montserrat" w:eastAsia="Montserrat" w:cs="Montserrat"/>
          <w:b w:val="0"/>
          <w:i w:val="0"/>
          <w:sz w:val="22"/>
        </w:rPr>
        <w:t>Rwanda is the beachhead because it is SimpleJoint’s operating and legal home, because ESL already has scholars who can be served without inventing a new programme, and because Isaiah’s business plan locates implementation in Kigali / Gasabo under Vision 2050’s knowledge-economy agenda and the ALU / Kigali education-technology cluster (Kporon, n.d.; Republic of Rwanda, 2020). Hosting can be global; opportunity verification, mentor onboarding, and risk outreach cannot. The business plan’s hybrid preference and Kigali hub logic are treated as operating constraints, not marketing colour. Commercial planning figures in that document (trainee price, pilot ask, year-one volume targets) are not imported as JointHub product metrics.</w:t>
      </w:r>
    </w:p>
    <w:p>
      <w:pPr>
        <w:spacing w:after="120" w:before="240" w:line="276" w:lineRule="auto"/>
        <w:jc w:val="left"/>
      </w:pPr>
      <w:r>
        <w:rPr>
          <w:rFonts w:ascii="Montserrat" w:hAnsi="Montserrat" w:eastAsia="Montserrat" w:cs="Montserrat"/>
          <w:b/>
          <w:i w:val="0"/>
          <w:color w:val="0D1B2A"/>
          <w:sz w:val="22"/>
        </w:rPr>
        <w:t>1.4 Project Aim and Objectives</w:t>
      </w:r>
    </w:p>
    <w:p>
      <w:pPr>
        <w:spacing w:after="160" w:before="0" w:line="360" w:lineRule="auto"/>
        <w:jc w:val="both"/>
      </w:pPr>
      <w:r>
        <w:rPr>
          <w:rFonts w:ascii="Montserrat" w:hAnsi="Montserrat" w:eastAsia="Montserrat" w:cs="Montserrat"/>
          <w:b w:val="0"/>
          <w:i w:val="0"/>
          <w:sz w:val="22"/>
        </w:rPr>
        <w:t>Aim. Implement and evaluate a staging Mentor Hub that operates ESL digitally in Rwanda.</w:t>
      </w:r>
    </w:p>
    <w:p>
      <w:pPr>
        <w:spacing w:after="160" w:before="0" w:line="360" w:lineRule="auto"/>
        <w:jc w:val="both"/>
      </w:pPr>
      <w:r>
        <w:rPr>
          <w:rFonts w:ascii="Montserrat" w:hAnsi="Montserrat" w:eastAsia="Montserrat" w:cs="Montserrat"/>
          <w:b w:val="0"/>
          <w:i w:val="0"/>
          <w:sz w:val="22"/>
        </w:rPr>
        <w:t>Objectives.</w:t>
      </w:r>
    </w:p>
    <w:p>
      <w:pPr>
        <w:pStyle w:val="ListNumber"/>
        <w:spacing w:after="80" w:before="0" w:line="360" w:lineRule="auto"/>
        <w:jc w:val="both"/>
      </w:pPr>
      <w:r>
        <w:rPr>
          <w:rFonts w:ascii="Montserrat" w:hAnsi="Montserrat" w:eastAsia="Montserrat" w:cs="Montserrat"/>
          <w:b w:val="0"/>
          <w:i w:val="0"/>
          <w:sz w:val="22"/>
        </w:rPr>
        <w:t>Specify JointHub as the OS for ESL, with scholars as primary users and mentors/admins as supporting users.</w:t>
      </w:r>
    </w:p>
    <w:p>
      <w:pPr>
        <w:pStyle w:val="ListNumber"/>
        <w:spacing w:after="80" w:before="0" w:line="360" w:lineRule="auto"/>
        <w:jc w:val="both"/>
      </w:pPr>
      <w:r>
        <w:rPr>
          <w:rFonts w:ascii="Montserrat" w:hAnsi="Montserrat" w:eastAsia="Montserrat" w:cs="Montserrat"/>
          <w:b w:val="0"/>
          <w:i w:val="0"/>
          <w:sz w:val="22"/>
        </w:rPr>
        <w:t>Ship a role-aware staging dashboard covering ranked opportunities with explanations, mentor assignment, and a human-overridden dropout-risk queue.</w:t>
      </w:r>
    </w:p>
    <w:p>
      <w:pPr>
        <w:pStyle w:val="ListNumber"/>
        <w:spacing w:after="80" w:before="0" w:line="360" w:lineRule="auto"/>
        <w:jc w:val="both"/>
      </w:pPr>
      <w:r>
        <w:rPr>
          <w:rFonts w:ascii="Montserrat" w:hAnsi="Montserrat" w:eastAsia="Montserrat" w:cs="Montserrat"/>
          <w:b w:val="0"/>
          <w:i w:val="0"/>
          <w:sz w:val="22"/>
        </w:rPr>
        <w:t>Evaluate sample-cohort components against pre-declared targets (Precision@5 ≥ 0.75; Mentor F1 ≥ 0.70; NLP recall ≥ 0.80; AUC reported with a synthetic-label caveat).</w:t>
      </w:r>
    </w:p>
    <w:p>
      <w:pPr>
        <w:pStyle w:val="ListNumber"/>
        <w:spacing w:after="80" w:before="0" w:line="360" w:lineRule="auto"/>
        <w:jc w:val="both"/>
      </w:pPr>
      <w:r>
        <w:rPr>
          <w:rFonts w:ascii="Montserrat" w:hAnsi="Montserrat" w:eastAsia="Montserrat" w:cs="Montserrat"/>
          <w:b w:val="0"/>
          <w:i w:val="0"/>
          <w:sz w:val="22"/>
        </w:rPr>
        <w:t>Keep organisational ESL impact, sample-cohort model KPIs, platform sample statistics, and shipping proof in separate evidence buckets.</w:t>
      </w:r>
    </w:p>
    <w:p>
      <w:pPr>
        <w:pStyle w:val="ListNumber"/>
        <w:spacing w:after="80" w:before="0" w:line="360" w:lineRule="auto"/>
        <w:jc w:val="both"/>
      </w:pPr>
      <w:r>
        <w:rPr>
          <w:rFonts w:ascii="Montserrat" w:hAnsi="Montserrat" w:eastAsia="Montserrat" w:cs="Montserrat"/>
          <w:b w:val="0"/>
          <w:i w:val="0"/>
          <w:sz w:val="22"/>
        </w:rPr>
        <w:t>Produce a sustainability plan that keeps the scholar core free and sequences live data, mentor supply, and governance before geographic expansion.</w:t>
      </w:r>
    </w:p>
    <w:p>
      <w:pPr>
        <w:pStyle w:val="ListNumber"/>
        <w:spacing w:after="80" w:before="0" w:line="360" w:lineRule="auto"/>
        <w:jc w:val="both"/>
      </w:pPr>
      <w:r>
        <w:rPr>
          <w:rFonts w:ascii="Montserrat" w:hAnsi="Montserrat" w:eastAsia="Montserrat" w:cs="Montserrat"/>
          <w:b w:val="0"/>
          <w:i w:val="0"/>
          <w:sz w:val="22"/>
        </w:rPr>
        <w:t>Specify the bootcamp as the intended launch mechanism, without inventing attendance or NPS.</w:t>
      </w:r>
    </w:p>
    <w:p>
      <w:pPr>
        <w:spacing w:after="120" w:before="240" w:line="276" w:lineRule="auto"/>
        <w:jc w:val="left"/>
      </w:pPr>
      <w:r>
        <w:rPr>
          <w:rFonts w:ascii="Montserrat" w:hAnsi="Montserrat" w:eastAsia="Montserrat" w:cs="Montserrat"/>
          <w:b/>
          <w:i w:val="0"/>
          <w:color w:val="0D1B2A"/>
          <w:sz w:val="22"/>
        </w:rPr>
        <w:t>1.5 Scope of the Project</w:t>
      </w:r>
    </w:p>
    <w:p>
      <w:pPr>
        <w:spacing w:after="160" w:before="0" w:line="360" w:lineRule="auto"/>
        <w:jc w:val="both"/>
      </w:pPr>
      <w:r>
        <w:rPr>
          <w:rFonts w:ascii="Montserrat" w:hAnsi="Montserrat" w:eastAsia="Montserrat" w:cs="Montserrat"/>
          <w:b w:val="0"/>
          <w:i w:val="0"/>
          <w:sz w:val="22"/>
        </w:rPr>
        <w:t>In scope. Rwanda beachhead; ESL scholars as primary users; mentors and administrators as supporting users; staging Mentor Hub as the OS for ESL; sample-cohort evaluation; 6–12–24 month sustainability plan; bootcamp as intended launch path; ED/MD production gate.</w:t>
      </w:r>
    </w:p>
    <w:p>
      <w:pPr>
        <w:spacing w:after="160" w:before="0" w:line="360" w:lineRule="auto"/>
        <w:jc w:val="both"/>
      </w:pPr>
      <w:r>
        <w:rPr>
          <w:rFonts w:ascii="Montserrat" w:hAnsi="Montserrat" w:eastAsia="Montserrat" w:cs="Montserrat"/>
          <w:b w:val="0"/>
          <w:i w:val="0"/>
          <w:sz w:val="22"/>
        </w:rPr>
        <w:t>Out of scope. Pan-African production launch; paywalled scholar access; automated punitive action on risk scores; completed live ESL field surveys as Capstone II results; bootcamp attendance, NPS, internships, or completion rates as claimed field results; JointCare; the Skill-Link Rwanda commercial training model as the product being shipped.</w:t>
      </w:r>
    </w:p>
    <w:p>
      <w:pPr>
        <w:spacing w:after="160" w:before="0" w:line="360" w:lineRule="auto"/>
        <w:jc w:val="both"/>
      </w:pPr>
      <w:r>
        <w:rPr>
          <w:rFonts w:ascii="Montserrat" w:hAnsi="Montserrat" w:eastAsia="Montserrat" w:cs="Montserrat"/>
          <w:b w:val="0"/>
          <w:i w:val="0"/>
          <w:sz w:val="22"/>
        </w:rPr>
        <w:t>Time boundary. Design and implementation evidence runs through August 2026. The Capstone II deadline is 30 August 2026.</w:t>
      </w:r>
    </w:p>
    <w:p>
      <w:pPr>
        <w:spacing w:after="120" w:before="240" w:line="276" w:lineRule="auto"/>
        <w:jc w:val="left"/>
      </w:pPr>
      <w:r>
        <w:rPr>
          <w:rFonts w:ascii="Montserrat" w:hAnsi="Montserrat" w:eastAsia="Montserrat" w:cs="Montserrat"/>
          <w:b/>
          <w:i w:val="0"/>
          <w:color w:val="0D1B2A"/>
          <w:sz w:val="22"/>
        </w:rPr>
        <w:t>1.6 Stakeholders</w:t>
      </w:r>
    </w:p>
    <w:p>
      <w:pPr>
        <w:spacing w:after="160" w:before="0" w:line="360" w:lineRule="auto"/>
        <w:jc w:val="both"/>
      </w:pPr>
      <w:r>
        <w:rPr>
          <w:rFonts w:ascii="Montserrat" w:hAnsi="Montserrat" w:eastAsia="Montserrat" w:cs="Montserrat"/>
          <w:b w:val="0"/>
          <w:i w:val="0"/>
          <w:sz w:val="22"/>
        </w:rPr>
        <w:t>Primary stakeholders are ESL scholars. Secondary stakeholders are volunteer mentors. Operator stakeholders are the Executive Director (Isaiah Kporon), the Managing Director (Cynthia Kporon), and future programme, IT, and MEARL roles. External stakeholders include ALU faculty and Capstone examiners, institutional partners, funders, and Rwanda regulators. The Mentor Hub is the operating surface for ESL; judges and funders are not daily users (SimpleJoint Trust, 2026e). A full power/interest map is in Chapter Two.</w:t>
      </w:r>
    </w:p>
    <w:p>
      <w:pPr>
        <w:spacing w:after="120" w:before="240" w:line="276" w:lineRule="auto"/>
        <w:jc w:val="left"/>
      </w:pPr>
      <w:r>
        <w:rPr>
          <w:rFonts w:ascii="Montserrat" w:hAnsi="Montserrat" w:eastAsia="Montserrat" w:cs="Montserrat"/>
          <w:b/>
          <w:i w:val="0"/>
          <w:color w:val="0D1B2A"/>
          <w:sz w:val="22"/>
        </w:rPr>
        <w:t>1.7 Significance of the Project</w:t>
      </w:r>
    </w:p>
    <w:p>
      <w:pPr>
        <w:spacing w:after="160" w:before="0" w:line="360" w:lineRule="auto"/>
        <w:jc w:val="both"/>
      </w:pPr>
      <w:r>
        <w:rPr>
          <w:rFonts w:ascii="Montserrat" w:hAnsi="Montserrat" w:eastAsia="Montserrat" w:cs="Montserrat"/>
          <w:b w:val="0"/>
          <w:i w:val="0"/>
          <w:sz w:val="22"/>
        </w:rPr>
        <w:t>For scholars, the significance is practical: fewer hours lost to unranked lists, a named mentor path, and earlier outreach if they stall. For SimpleJoint, ESL outcomes become board-visible leading indicators rather than founder memory. For the EMBA, a Data Science and AI candidate is assessed on a governed, human-overridden operating system rather than on a leaderboard score. For Rwanda, the work aligns with Vision 2050 and skills-mismatch policy without claiming that a dashboard, by itself, creates formal jobs.</w:t>
      </w:r>
    </w:p>
    <w:p>
      <w:pPr>
        <w:spacing w:after="120" w:before="240" w:line="276" w:lineRule="auto"/>
        <w:jc w:val="left"/>
      </w:pPr>
      <w:r>
        <w:rPr>
          <w:rFonts w:ascii="Montserrat" w:hAnsi="Montserrat" w:eastAsia="Montserrat" w:cs="Montserrat"/>
          <w:b/>
          <w:i w:val="0"/>
          <w:color w:val="0D1B2A"/>
          <w:sz w:val="22"/>
        </w:rPr>
        <w:t>1.8 Structure of the Report</w:t>
      </w:r>
    </w:p>
    <w:p>
      <w:pPr>
        <w:spacing w:after="160" w:before="0" w:line="360" w:lineRule="auto"/>
        <w:jc w:val="both"/>
      </w:pPr>
      <w:r>
        <w:rPr>
          <w:rFonts w:ascii="Montserrat" w:hAnsi="Montserrat" w:eastAsia="Montserrat" w:cs="Montserrat"/>
          <w:b w:val="0"/>
          <w:i w:val="0"/>
          <w:sz w:val="22"/>
        </w:rPr>
        <w:t>Chapter Two analyses the external environment, market, internal capability, stakeholders, and risk. Chapter Three designs the solution, including architecture, ethics, MVP phasing, and the bootcamp as launch vehicle. Chapter Four reports implementation, KPIs, results, and limitations, keeping programme impact and sample-cohort metrics in separate buckets. Chapter Five sets out sustainability, scale pathways, and a 6–12–24 month roadmap. References follow APA 7th edition. Appendices hold demonstration accounts and evidence-bucket rules.</w:t>
      </w:r>
    </w:p>
    <w:p>
      <w:r>
        <w:br w:type="page"/>
      </w:r>
    </w:p>
    <w:p>
      <w:pPr>
        <w:spacing w:after="240" w:before="0" w:line="276" w:lineRule="auto"/>
        <w:jc w:val="left"/>
      </w:pPr>
      <w:r>
        <w:rPr>
          <w:rFonts w:ascii="Montserrat" w:hAnsi="Montserrat" w:eastAsia="Montserrat" w:cs="Montserrat"/>
          <w:b/>
          <w:i w:val="0"/>
          <w:color w:val="0D1B2A"/>
          <w:sz w:val="24"/>
        </w:rPr>
        <w:t>CHAPTER TWO: SITUATIONAL ANALYSIS AND STRATEGIC INSIGHTS</w:t>
      </w:r>
    </w:p>
    <w:p>
      <w:pPr>
        <w:spacing w:after="120" w:before="240" w:line="276" w:lineRule="auto"/>
        <w:jc w:val="left"/>
      </w:pPr>
      <w:r>
        <w:rPr>
          <w:rFonts w:ascii="Montserrat" w:hAnsi="Montserrat" w:eastAsia="Montserrat" w:cs="Montserrat"/>
          <w:b/>
          <w:i w:val="0"/>
          <w:color w:val="0D1B2A"/>
          <w:sz w:val="22"/>
        </w:rPr>
        <w:t>2.1 Introduction to the Analysis</w:t>
      </w:r>
    </w:p>
    <w:p>
      <w:pPr>
        <w:spacing w:after="160" w:before="0" w:line="360" w:lineRule="auto"/>
        <w:jc w:val="both"/>
      </w:pPr>
      <w:r>
        <w:rPr>
          <w:rFonts w:ascii="Montserrat" w:hAnsi="Montserrat" w:eastAsia="Montserrat" w:cs="Montserrat"/>
          <w:b w:val="0"/>
          <w:i w:val="0"/>
          <w:sz w:val="22"/>
        </w:rPr>
        <w:t>Chapter One established the three-beat spine: a Digital Campaign for the SDGs (Capstone I), ESL as the subsequent programme design, and JointHub’s Mentor Hub as the operating system for ESL in Rwanda (Capstone II). This chapter asks whether that spine is strategically justified. Two evidence rules apply. First, Isaiah’s Skill-Link Rwanda business plan is primary backing for why the work is based in Rwanda; its survey percentages are organisational planning evidence, not a national sample (Kporon, n.d.). Second, SimpleJoint impact figures remain in a separate bucket from sample-cohort model KPIs.</w:t>
      </w:r>
    </w:p>
    <w:p>
      <w:pPr>
        <w:spacing w:after="160" w:before="0" w:line="360" w:lineRule="auto"/>
        <w:jc w:val="both"/>
      </w:pPr>
      <w:r>
        <w:rPr>
          <w:rFonts w:ascii="Montserrat" w:hAnsi="Montserrat" w:eastAsia="Montserrat" w:cs="Montserrat"/>
          <w:b w:val="0"/>
          <w:i w:val="0"/>
          <w:sz w:val="22"/>
        </w:rPr>
        <w:t>The strategic question is not whether Africa needs another scholarship blog. It is whether a Kigali-based trust can turn an existing leadership programme into a governed digital operating system without diluting ESL quality.</w:t>
      </w:r>
    </w:p>
    <w:p>
      <w:pPr>
        <w:spacing w:after="120" w:before="240" w:line="276" w:lineRule="auto"/>
        <w:jc w:val="left"/>
      </w:pPr>
      <w:r>
        <w:rPr>
          <w:rFonts w:ascii="Montserrat" w:hAnsi="Montserrat" w:eastAsia="Montserrat" w:cs="Montserrat"/>
          <w:b/>
          <w:i w:val="0"/>
          <w:color w:val="0D1B2A"/>
          <w:sz w:val="22"/>
        </w:rPr>
        <w:t>2.2 External Environment Analysis</w:t>
      </w:r>
    </w:p>
    <w:p>
      <w:pPr>
        <w:spacing w:after="80" w:before="160" w:line="276" w:lineRule="auto"/>
        <w:jc w:val="left"/>
      </w:pPr>
      <w:r>
        <w:rPr>
          <w:rFonts w:ascii="Montserrat" w:hAnsi="Montserrat" w:eastAsia="Montserrat" w:cs="Montserrat"/>
          <w:b w:val="0"/>
          <w:i/>
          <w:color w:val="0D1B2A"/>
          <w:sz w:val="22"/>
        </w:rPr>
        <w:t>Political</w:t>
      </w:r>
    </w:p>
    <w:p>
      <w:pPr>
        <w:spacing w:after="160" w:before="0" w:line="360" w:lineRule="auto"/>
        <w:jc w:val="both"/>
      </w:pPr>
      <w:r>
        <w:rPr>
          <w:rFonts w:ascii="Montserrat" w:hAnsi="Montserrat" w:eastAsia="Montserrat" w:cs="Montserrat"/>
          <w:b w:val="0"/>
          <w:i w:val="0"/>
          <w:sz w:val="22"/>
        </w:rPr>
        <w:t>Rwanda’s Vision 2050 frames a knowledge-based, innovation-led economy and reduced aid dependency (Republic of Rwanda, 2020). The business plan treats that agenda as permission for a hybrid youth platform alongside National Employment Program, TVET, and Skills Development Fund policy, without claiming those public programmes have contracted SimpleJoint (Kporon, n.d.; Rwanda Development Board [RDB], 2019). The practical constraint is Rwanda Governance Board (RGB) trust compliance and the need for finance and legal board coverage before production-scale data processing. ALU and the Kigali education-technology cluster sit in the same geography: examiners, mentors, and scholars can be in the same city as the staging demo. That is not a claim that ALU has adopted JointHub as an official university platform.</w:t>
      </w:r>
    </w:p>
    <w:p>
      <w:pPr>
        <w:spacing w:after="80" w:before="160" w:line="276" w:lineRule="auto"/>
        <w:jc w:val="left"/>
      </w:pPr>
      <w:r>
        <w:rPr>
          <w:rFonts w:ascii="Montserrat" w:hAnsi="Montserrat" w:eastAsia="Montserrat" w:cs="Montserrat"/>
          <w:b w:val="0"/>
          <w:i/>
          <w:color w:val="0D1B2A"/>
          <w:sz w:val="22"/>
        </w:rPr>
        <w:t>Economic</w:t>
      </w:r>
    </w:p>
    <w:p>
      <w:pPr>
        <w:spacing w:after="160" w:before="0" w:line="360" w:lineRule="auto"/>
        <w:jc w:val="both"/>
      </w:pPr>
      <w:r>
        <w:rPr>
          <w:rFonts w:ascii="Montserrat" w:hAnsi="Montserrat" w:eastAsia="Montserrat" w:cs="Montserrat"/>
          <w:b w:val="0"/>
          <w:i w:val="0"/>
          <w:sz w:val="22"/>
        </w:rPr>
        <w:t>NISR’s 2025 Q1 Labour Force Survey remains the highest-confidence labour snapshot used here: youth unemployment 13.6% versus 9.5% for adults; youth employment-to-population ratio 50.5% versus 60.1%; youth underutilization 54.5% (NISR, 2025). The business plan opens with the same 13.6% / &gt;50% pair (Kporon, n.d.; Bugingo, 2025). Regionally, ILO (2024) places sub-Saharan Africa’s youth NEET rate at 21.9%. AfDB (2025) restates 10–12 million labour-market entrants versus about 3 million formal jobs. McIntosh and Zeitlin (2022) show that skills training alone does not always convert to durable income. JointHub’s implication is narrow: a dashboard can improve navigation and accompaniment; it cannot be sold as a jobs programme.</w:t>
      </w:r>
    </w:p>
    <w:p>
      <w:pPr>
        <w:spacing w:after="80" w:before="160" w:line="276" w:lineRule="auto"/>
        <w:jc w:val="left"/>
      </w:pPr>
      <w:r>
        <w:rPr>
          <w:rFonts w:ascii="Montserrat" w:hAnsi="Montserrat" w:eastAsia="Montserrat" w:cs="Montserrat"/>
          <w:b w:val="0"/>
          <w:i/>
          <w:color w:val="0D1B2A"/>
          <w:sz w:val="22"/>
        </w:rPr>
        <w:t>Social</w:t>
      </w:r>
    </w:p>
    <w:p>
      <w:pPr>
        <w:spacing w:after="160" w:before="0" w:line="360" w:lineRule="auto"/>
        <w:jc w:val="both"/>
      </w:pPr>
      <w:r>
        <w:rPr>
          <w:rFonts w:ascii="Montserrat" w:hAnsi="Montserrat" w:eastAsia="Montserrat" w:cs="Montserrat"/>
          <w:b w:val="0"/>
          <w:i w:val="0"/>
          <w:sz w:val="22"/>
        </w:rPr>
        <w:t>ESL already holds trust capital: 85+ students, 6+ countries including Rwanda, $158,000+ scholarships and grants, 100% post-mentorship interview confidence, and 88% leadership/service readiness (SimpleJoint Trust, 2026d). The Gasabo planning survey shows demand for guidance, matching, and mentorship rather than standalone training, with 61.9% preferring hybrid delivery (Kporon, n.d.). Social risk is elite capture if the OS serves only the already-networked. The product response is a free scholar core and human override on risk flags.</w:t>
      </w:r>
    </w:p>
    <w:p>
      <w:pPr>
        <w:spacing w:after="80" w:before="160" w:line="276" w:lineRule="auto"/>
        <w:jc w:val="left"/>
      </w:pPr>
      <w:r>
        <w:rPr>
          <w:rFonts w:ascii="Montserrat" w:hAnsi="Montserrat" w:eastAsia="Montserrat" w:cs="Montserrat"/>
          <w:b w:val="0"/>
          <w:i/>
          <w:color w:val="0D1B2A"/>
          <w:sz w:val="22"/>
        </w:rPr>
        <w:t>Technological</w:t>
      </w:r>
    </w:p>
    <w:p>
      <w:pPr>
        <w:spacing w:after="160" w:before="0" w:line="360" w:lineRule="auto"/>
        <w:jc w:val="both"/>
      </w:pPr>
      <w:r>
        <w:rPr>
          <w:rFonts w:ascii="Montserrat" w:hAnsi="Montserrat" w:eastAsia="Montserrat" w:cs="Montserrat"/>
          <w:b w:val="0"/>
          <w:i w:val="0"/>
          <w:sz w:val="22"/>
        </w:rPr>
        <w:t>Smartphone and internet access in Kigali are sufficient for a mobile-first web MVP, but connectivity is not universal (Ogwu, 2025). The Capstone stack is a Next.js dashboard plus a FastAPI scoring companion on staging. Demo JSON enabled evaluation and now blocks operational truth. AI is confined to ranking, matching, scoring, and explanation. Formation stays human (SimpleJoint Trust, 2026f).</w:t>
      </w:r>
    </w:p>
    <w:p>
      <w:pPr>
        <w:spacing w:after="80" w:before="160" w:line="276" w:lineRule="auto"/>
        <w:jc w:val="left"/>
      </w:pPr>
      <w:r>
        <w:rPr>
          <w:rFonts w:ascii="Montserrat" w:hAnsi="Montserrat" w:eastAsia="Montserrat" w:cs="Montserrat"/>
          <w:b w:val="0"/>
          <w:i/>
          <w:color w:val="0D1B2A"/>
          <w:sz w:val="22"/>
        </w:rPr>
        <w:t>Legal</w:t>
      </w:r>
    </w:p>
    <w:p>
      <w:pPr>
        <w:spacing w:after="160" w:before="0" w:line="360" w:lineRule="auto"/>
        <w:jc w:val="both"/>
      </w:pPr>
      <w:r>
        <w:rPr>
          <w:rFonts w:ascii="Montserrat" w:hAnsi="Montserrat" w:eastAsia="Montserrat" w:cs="Montserrat"/>
          <w:b w:val="0"/>
          <w:i w:val="0"/>
          <w:sz w:val="22"/>
        </w:rPr>
        <w:t>SimpleJoint is a Rwanda-registered trust. Production data processing across 6+ countries, including Rwanda, requires consent, minimisation, RGB reporting, and legal review. Capstone II therefore remains on staging with an ED/MD publish gate. The business plan’s implementation-in-Rwanda logic is treated as a compliance geography, not only a market-entry slogan (Kporon, n.d.).</w:t>
      </w:r>
    </w:p>
    <w:p>
      <w:pPr>
        <w:spacing w:after="80" w:before="160" w:line="276" w:lineRule="auto"/>
        <w:jc w:val="left"/>
      </w:pPr>
      <w:r>
        <w:rPr>
          <w:rFonts w:ascii="Montserrat" w:hAnsi="Montserrat" w:eastAsia="Montserrat" w:cs="Montserrat"/>
          <w:b w:val="0"/>
          <w:i/>
          <w:color w:val="0D1B2A"/>
          <w:sz w:val="22"/>
        </w:rPr>
        <w:t>Environmental</w:t>
      </w:r>
    </w:p>
    <w:p>
      <w:pPr>
        <w:spacing w:after="160" w:before="0" w:line="360" w:lineRule="auto"/>
        <w:jc w:val="both"/>
      </w:pPr>
      <w:r>
        <w:rPr>
          <w:rFonts w:ascii="Montserrat" w:hAnsi="Montserrat" w:eastAsia="Montserrat" w:cs="Montserrat"/>
          <w:b w:val="0"/>
          <w:i w:val="0"/>
          <w:sz w:val="22"/>
        </w:rPr>
        <w:t>The environmental contribution is modest and honest: digital substitution for some in-person admin, hybrid delivery as preferred in the business plan (61.9%), and no claim that JointHub is a climate programme. Capstone I’s SDG campaign created narrative demand for sustainability education; ESL and the Hub convert that demand into pathways, not into a conservation research dataset.</w:t>
      </w:r>
    </w:p>
    <w:p>
      <w:pPr>
        <w:spacing w:after="120" w:before="240" w:line="276" w:lineRule="auto"/>
        <w:jc w:val="left"/>
      </w:pPr>
      <w:r>
        <w:rPr>
          <w:rFonts w:ascii="Montserrat" w:hAnsi="Montserrat" w:eastAsia="Montserrat" w:cs="Montserrat"/>
          <w:b/>
          <w:i w:val="0"/>
          <w:color w:val="0D1B2A"/>
          <w:sz w:val="22"/>
        </w:rPr>
        <w:t>2.3 Market and Sector Analysis</w:t>
      </w:r>
    </w:p>
    <w:p>
      <w:pPr>
        <w:spacing w:after="160" w:before="0" w:line="360" w:lineRule="auto"/>
        <w:jc w:val="both"/>
      </w:pPr>
      <w:r>
        <w:rPr>
          <w:rFonts w:ascii="Montserrat" w:hAnsi="Montserrat" w:eastAsia="Montserrat" w:cs="Montserrat"/>
          <w:b w:val="0"/>
          <w:i w:val="0"/>
          <w:sz w:val="22"/>
        </w:rPr>
        <w:t>Direct comparators are scholarship/opportunity list sites (Opportunity Desk, After School Africa, Scholars4Dev) and mentor marketplaces (ADPList). Adjacent tools include LinkedIn and generic LMS products. None combine a named African leadership cohort, ranked opportunities with explanations, capacity-constrained mentor assignment, and a human-overridden dropout-risk queue (SimpleJoint Trust, 2026c).</w:t>
      </w:r>
    </w:p>
    <w:p>
      <w:pPr>
        <w:spacing w:after="160" w:before="0" w:line="360" w:lineRule="auto"/>
        <w:jc w:val="both"/>
      </w:pPr>
      <w:r>
        <w:rPr>
          <w:rFonts w:ascii="Montserrat" w:hAnsi="Montserrat" w:eastAsia="Montserrat" w:cs="Montserrat"/>
          <w:b w:val="0"/>
          <w:i w:val="0"/>
          <w:sz w:val="22"/>
        </w:rPr>
        <w:t>Porter-style implication, stated without theatre: rivalry among list sites is high on catalogue size; threat of substitution is high (WhatsApp groups, Google sheets); buyer power of scholars is high if the product is another unpaid list; supplier power sits with mentors and curators; barriers to a true programme OS are operational, not technical. SimpleJoint’s scarce asset is ESL, not software.</w:t>
      </w:r>
    </w:p>
    <w:p>
      <w:pPr>
        <w:spacing w:after="160" w:before="0" w:line="360" w:lineRule="auto"/>
        <w:jc w:val="both"/>
      </w:pPr>
      <w:r>
        <w:rPr>
          <w:rFonts w:ascii="Montserrat" w:hAnsi="Montserrat" w:eastAsia="Montserrat" w:cs="Montserrat"/>
          <w:b w:val="0"/>
          <w:i w:val="0"/>
          <w:sz w:val="22"/>
        </w:rPr>
        <w:t>The business plan’s Gasabo evidence supports a hybrid mentorship-and-matching offer rather than a training-only product (Kporon, n.d.). Skill-Link Rwanda’s commercial pricing and year-one volume targets belong to that related planning document. Mixing them into JointHub would repeat the metric-hygiene failure this organisation has already banned.</w:t>
      </w:r>
    </w:p>
    <w:p>
      <w:pPr>
        <w:spacing w:after="120" w:before="240" w:line="276" w:lineRule="auto"/>
        <w:jc w:val="left"/>
      </w:pPr>
      <w:r>
        <w:rPr>
          <w:rFonts w:ascii="Montserrat" w:hAnsi="Montserrat" w:eastAsia="Montserrat" w:cs="Montserrat"/>
          <w:b/>
          <w:i w:val="0"/>
          <w:color w:val="0D1B2A"/>
          <w:sz w:val="22"/>
        </w:rPr>
        <w:t>2.4 Internal Organisational Analysis</w:t>
      </w:r>
    </w:p>
    <w:p>
      <w:pPr>
        <w:spacing w:after="160" w:before="0" w:line="360" w:lineRule="auto"/>
        <w:jc w:val="both"/>
      </w:pPr>
      <w:r>
        <w:rPr>
          <w:rFonts w:ascii="Montserrat" w:hAnsi="Montserrat" w:eastAsia="Montserrat" w:cs="Montserrat"/>
          <w:b w:val="0"/>
          <w:i w:val="0"/>
          <w:sz w:val="22"/>
        </w:rPr>
        <w:t>SWOT, condensed. Strengths: ESL trust capital; authorised impact panel; a working staging Hub; ED/MD role clarity; Kigali operating base. Weaknesses: volunteer delivery; open programme, legal, IT, and JointHub-manager seats; demo JSON as system of record; synthetic risk labels; no finance/legal trustees seated. Opportunities: Vision 2050 alignment; institutional partner seats; bootcamp as launch vehicle; live ESL cutover. Threats: founder concentration; grant delay; mentor supply collapse; AI overclaim; opportunity staleness.</w:t>
      </w:r>
    </w:p>
    <w:p>
      <w:pPr>
        <w:spacing w:after="160" w:before="0" w:line="360" w:lineRule="auto"/>
        <w:jc w:val="both"/>
      </w:pPr>
      <w:r>
        <w:rPr>
          <w:rFonts w:ascii="Montserrat" w:hAnsi="Montserrat" w:eastAsia="Montserrat" w:cs="Montserrat"/>
          <w:b w:val="0"/>
          <w:i w:val="0"/>
          <w:sz w:val="22"/>
        </w:rPr>
        <w:t>VRIO reading. ESL relationships are valuable, rare, and costly to imitate; the dashboard is valuable but not rare. Strategy follows: build the OS around ESL, do not pivot into a generic marketplace.</w:t>
      </w:r>
    </w:p>
    <w:p>
      <w:pPr>
        <w:spacing w:after="120" w:before="240" w:line="276" w:lineRule="auto"/>
        <w:jc w:val="left"/>
      </w:pPr>
      <w:r>
        <w:rPr>
          <w:rFonts w:ascii="Montserrat" w:hAnsi="Montserrat" w:eastAsia="Montserrat" w:cs="Montserrat"/>
          <w:b/>
          <w:i w:val="0"/>
          <w:color w:val="0D1B2A"/>
          <w:sz w:val="22"/>
        </w:rPr>
        <w:t>2.5 Stakeholder Analysis</w:t>
      </w:r>
    </w:p>
    <w:tbl>
      <w:tblPr>
        <w:tblW w:type="auto" w:w="0"/>
        <w:jc w:val="center"/>
        <w:tblLayout w:type="autofit"/>
        <w:tblLook w:firstColumn="1" w:firstRow="1" w:lastColumn="0" w:lastRow="0" w:noHBand="0" w:noVBand="1" w:val="04A0"/>
      </w:tblPr>
      <w:tblGrid>
        <w:gridCol w:w="2166"/>
        <w:gridCol w:w="2166"/>
        <w:gridCol w:w="2166"/>
        <w:gridCol w:w="2166"/>
      </w:tblGrid>
      <w:tr>
        <w:tc>
          <w:tcPr>
            <w:tcW w:type="dxa" w:w="2166"/>
            <w:tcBorders>
              <w:top w:val="single" w:sz="4" w:space="0" w:color="D6D3D1"/>
              <w:left w:val="single" w:sz="4" w:space="0" w:color="D6D3D1"/>
              <w:bottom w:val="single" w:sz="4" w:space="0" w:color="D6D3D1"/>
              <w:right w:val="single" w:sz="4" w:space="0" w:color="D6D3D1"/>
            </w:tcBorders>
            <w:shd w:fill="0D1B2A" w:val="clear"/>
          </w:tcPr>
          <w:p>
            <w:pPr>
              <w:spacing w:after="40" w:before="40" w:line="240" w:lineRule="auto"/>
              <w:jc w:val="left"/>
            </w:pPr>
            <w:r>
              <w:rPr>
                <w:color w:val="FFFFFF"/>
              </w:rPr>
            </w:r>
            <w:r>
              <w:rPr>
                <w:rFonts w:ascii="Montserrat" w:hAnsi="Montserrat" w:eastAsia="Montserrat" w:cs="Montserrat"/>
                <w:b/>
                <w:i w:val="0"/>
                <w:color w:val="FFFFFF"/>
                <w:sz w:val="20"/>
              </w:rPr>
              <w:t>Stakeholder</w:t>
            </w:r>
          </w:p>
        </w:tc>
        <w:tc>
          <w:tcPr>
            <w:tcW w:type="dxa" w:w="2166"/>
            <w:tcBorders>
              <w:top w:val="single" w:sz="4" w:space="0" w:color="D6D3D1"/>
              <w:left w:val="single" w:sz="4" w:space="0" w:color="D6D3D1"/>
              <w:bottom w:val="single" w:sz="4" w:space="0" w:color="D6D3D1"/>
              <w:right w:val="single" w:sz="4" w:space="0" w:color="D6D3D1"/>
            </w:tcBorders>
            <w:shd w:fill="0D1B2A" w:val="clear"/>
          </w:tcPr>
          <w:p>
            <w:pPr>
              <w:spacing w:after="40" w:before="40" w:line="240" w:lineRule="auto"/>
              <w:jc w:val="left"/>
            </w:pPr>
            <w:r>
              <w:rPr>
                <w:color w:val="FFFFFF"/>
              </w:rPr>
            </w:r>
            <w:r>
              <w:rPr>
                <w:rFonts w:ascii="Montserrat" w:hAnsi="Montserrat" w:eastAsia="Montserrat" w:cs="Montserrat"/>
                <w:b/>
                <w:i w:val="0"/>
                <w:color w:val="FFFFFF"/>
                <w:sz w:val="20"/>
              </w:rPr>
              <w:t>Interest</w:t>
            </w:r>
          </w:p>
        </w:tc>
        <w:tc>
          <w:tcPr>
            <w:tcW w:type="dxa" w:w="2166"/>
            <w:tcBorders>
              <w:top w:val="single" w:sz="4" w:space="0" w:color="D6D3D1"/>
              <w:left w:val="single" w:sz="4" w:space="0" w:color="D6D3D1"/>
              <w:bottom w:val="single" w:sz="4" w:space="0" w:color="D6D3D1"/>
              <w:right w:val="single" w:sz="4" w:space="0" w:color="D6D3D1"/>
            </w:tcBorders>
            <w:shd w:fill="0D1B2A" w:val="clear"/>
          </w:tcPr>
          <w:p>
            <w:pPr>
              <w:spacing w:after="40" w:before="40" w:line="240" w:lineRule="auto"/>
              <w:jc w:val="left"/>
            </w:pPr>
            <w:r>
              <w:rPr>
                <w:color w:val="FFFFFF"/>
              </w:rPr>
            </w:r>
            <w:r>
              <w:rPr>
                <w:rFonts w:ascii="Montserrat" w:hAnsi="Montserrat" w:eastAsia="Montserrat" w:cs="Montserrat"/>
                <w:b/>
                <w:i w:val="0"/>
                <w:color w:val="FFFFFF"/>
                <w:sz w:val="20"/>
              </w:rPr>
              <w:t>Power</w:t>
            </w:r>
          </w:p>
        </w:tc>
        <w:tc>
          <w:tcPr>
            <w:tcW w:type="dxa" w:w="2166"/>
            <w:tcBorders>
              <w:top w:val="single" w:sz="4" w:space="0" w:color="D6D3D1"/>
              <w:left w:val="single" w:sz="4" w:space="0" w:color="D6D3D1"/>
              <w:bottom w:val="single" w:sz="4" w:space="0" w:color="D6D3D1"/>
              <w:right w:val="single" w:sz="4" w:space="0" w:color="D6D3D1"/>
            </w:tcBorders>
            <w:shd w:fill="0D1B2A" w:val="clear"/>
          </w:tcPr>
          <w:p>
            <w:pPr>
              <w:spacing w:after="40" w:before="40" w:line="240" w:lineRule="auto"/>
              <w:jc w:val="left"/>
            </w:pPr>
            <w:r>
              <w:rPr>
                <w:color w:val="FFFFFF"/>
              </w:rPr>
            </w:r>
            <w:r>
              <w:rPr>
                <w:rFonts w:ascii="Montserrat" w:hAnsi="Montserrat" w:eastAsia="Montserrat" w:cs="Montserrat"/>
                <w:b/>
                <w:i w:val="0"/>
                <w:color w:val="FFFFFF"/>
                <w:sz w:val="20"/>
              </w:rPr>
              <w:t>Capstone II implication</w:t>
            </w:r>
          </w:p>
        </w:tc>
      </w:tr>
      <w:tr>
        <w:tc>
          <w:tcPr>
            <w:tcW w:type="dxa" w:w="2166"/>
            <w:tcBorders>
              <w:top w:val="single" w:sz="4" w:space="0" w:color="D6D3D1"/>
              <w:left w:val="single" w:sz="4" w:space="0" w:color="D6D3D1"/>
              <w:bottom w:val="single" w:sz="4" w:space="0" w:color="D6D3D1"/>
              <w:right w:val="single" w:sz="4" w:space="0" w:color="D6D3D1"/>
            </w:tcBorders>
          </w:tcPr>
          <w:p>
            <w:pPr>
              <w:spacing w:after="40" w:before="40" w:line="240" w:lineRule="auto"/>
              <w:jc w:val="left"/>
            </w:pPr>
            <w:r/>
            <w:r>
              <w:rPr>
                <w:rFonts w:ascii="Montserrat" w:hAnsi="Montserrat" w:eastAsia="Montserrat" w:cs="Montserrat"/>
                <w:b w:val="0"/>
                <w:i w:val="0"/>
                <w:sz w:val="20"/>
              </w:rPr>
              <w:t>ESL scholars</w:t>
            </w:r>
          </w:p>
        </w:tc>
        <w:tc>
          <w:tcPr>
            <w:tcW w:type="dxa" w:w="2166"/>
            <w:tcBorders>
              <w:top w:val="single" w:sz="4" w:space="0" w:color="D6D3D1"/>
              <w:left w:val="single" w:sz="4" w:space="0" w:color="D6D3D1"/>
              <w:bottom w:val="single" w:sz="4" w:space="0" w:color="D6D3D1"/>
              <w:right w:val="single" w:sz="4" w:space="0" w:color="D6D3D1"/>
            </w:tcBorders>
          </w:tcPr>
          <w:p>
            <w:pPr>
              <w:spacing w:after="40" w:before="40" w:line="240" w:lineRule="auto"/>
              <w:jc w:val="left"/>
            </w:pPr>
            <w:r/>
            <w:r>
              <w:rPr>
                <w:rFonts w:ascii="Montserrat" w:hAnsi="Montserrat" w:eastAsia="Montserrat" w:cs="Montserrat"/>
                <w:b w:val="0"/>
                <w:i w:val="0"/>
                <w:sz w:val="20"/>
              </w:rPr>
              <w:t>Ranked opportunities, a mentor, dignity</w:t>
            </w:r>
          </w:p>
        </w:tc>
        <w:tc>
          <w:tcPr>
            <w:tcW w:type="dxa" w:w="2166"/>
            <w:tcBorders>
              <w:top w:val="single" w:sz="4" w:space="0" w:color="D6D3D1"/>
              <w:left w:val="single" w:sz="4" w:space="0" w:color="D6D3D1"/>
              <w:bottom w:val="single" w:sz="4" w:space="0" w:color="D6D3D1"/>
              <w:right w:val="single" w:sz="4" w:space="0" w:color="D6D3D1"/>
            </w:tcBorders>
          </w:tcPr>
          <w:p>
            <w:pPr>
              <w:spacing w:after="40" w:before="40" w:line="240" w:lineRule="auto"/>
              <w:jc w:val="left"/>
            </w:pPr>
            <w:r/>
            <w:r>
              <w:rPr>
                <w:rFonts w:ascii="Montserrat" w:hAnsi="Montserrat" w:eastAsia="Montserrat" w:cs="Montserrat"/>
                <w:b w:val="0"/>
                <w:i w:val="0"/>
                <w:sz w:val="20"/>
              </w:rPr>
              <w:t>High (adoption)</w:t>
            </w:r>
          </w:p>
        </w:tc>
        <w:tc>
          <w:tcPr>
            <w:tcW w:type="dxa" w:w="2166"/>
            <w:tcBorders>
              <w:top w:val="single" w:sz="4" w:space="0" w:color="D6D3D1"/>
              <w:left w:val="single" w:sz="4" w:space="0" w:color="D6D3D1"/>
              <w:bottom w:val="single" w:sz="4" w:space="0" w:color="D6D3D1"/>
              <w:right w:val="single" w:sz="4" w:space="0" w:color="D6D3D1"/>
            </w:tcBorders>
          </w:tcPr>
          <w:p>
            <w:pPr>
              <w:spacing w:after="40" w:before="40" w:line="240" w:lineRule="auto"/>
              <w:jc w:val="left"/>
            </w:pPr>
            <w:r/>
            <w:r>
              <w:rPr>
                <w:rFonts w:ascii="Montserrat" w:hAnsi="Montserrat" w:eastAsia="Montserrat" w:cs="Montserrat"/>
                <w:b w:val="0"/>
                <w:i w:val="0"/>
                <w:sz w:val="20"/>
              </w:rPr>
              <w:t>Primary users; no paywall; explanations required</w:t>
            </w:r>
          </w:p>
        </w:tc>
      </w:tr>
      <w:tr>
        <w:tc>
          <w:tcPr>
            <w:tcW w:type="dxa" w:w="2166"/>
            <w:tcBorders>
              <w:top w:val="single" w:sz="4" w:space="0" w:color="D6D3D1"/>
              <w:left w:val="single" w:sz="4" w:space="0" w:color="D6D3D1"/>
              <w:bottom w:val="single" w:sz="4" w:space="0" w:color="D6D3D1"/>
              <w:right w:val="single" w:sz="4" w:space="0" w:color="D6D3D1"/>
            </w:tcBorders>
            <w:shd w:fill="F4F1EE" w:val="clear"/>
          </w:tcPr>
          <w:p>
            <w:pPr>
              <w:spacing w:after="40" w:before="40" w:line="240" w:lineRule="auto"/>
              <w:jc w:val="left"/>
            </w:pPr>
            <w:r/>
            <w:r>
              <w:rPr>
                <w:rFonts w:ascii="Montserrat" w:hAnsi="Montserrat" w:eastAsia="Montserrat" w:cs="Montserrat"/>
                <w:b w:val="0"/>
                <w:i w:val="0"/>
                <w:sz w:val="20"/>
              </w:rPr>
              <w:t>Mentors</w:t>
            </w:r>
          </w:p>
        </w:tc>
        <w:tc>
          <w:tcPr>
            <w:tcW w:type="dxa" w:w="2166"/>
            <w:tcBorders>
              <w:top w:val="single" w:sz="4" w:space="0" w:color="D6D3D1"/>
              <w:left w:val="single" w:sz="4" w:space="0" w:color="D6D3D1"/>
              <w:bottom w:val="single" w:sz="4" w:space="0" w:color="D6D3D1"/>
              <w:right w:val="single" w:sz="4" w:space="0" w:color="D6D3D1"/>
            </w:tcBorders>
            <w:shd w:fill="F4F1EE" w:val="clear"/>
          </w:tcPr>
          <w:p>
            <w:pPr>
              <w:spacing w:after="40" w:before="40" w:line="240" w:lineRule="auto"/>
              <w:jc w:val="left"/>
            </w:pPr>
            <w:r/>
            <w:r>
              <w:rPr>
                <w:rFonts w:ascii="Montserrat" w:hAnsi="Montserrat" w:eastAsia="Montserrat" w:cs="Montserrat"/>
                <w:b w:val="0"/>
                <w:i w:val="0"/>
                <w:sz w:val="20"/>
              </w:rPr>
              <w:t>Fair load, useful matches, recognition</w:t>
            </w:r>
          </w:p>
        </w:tc>
        <w:tc>
          <w:tcPr>
            <w:tcW w:type="dxa" w:w="2166"/>
            <w:tcBorders>
              <w:top w:val="single" w:sz="4" w:space="0" w:color="D6D3D1"/>
              <w:left w:val="single" w:sz="4" w:space="0" w:color="D6D3D1"/>
              <w:bottom w:val="single" w:sz="4" w:space="0" w:color="D6D3D1"/>
              <w:right w:val="single" w:sz="4" w:space="0" w:color="D6D3D1"/>
            </w:tcBorders>
            <w:shd w:fill="F4F1EE" w:val="clear"/>
          </w:tcPr>
          <w:p>
            <w:pPr>
              <w:spacing w:after="40" w:before="40" w:line="240" w:lineRule="auto"/>
              <w:jc w:val="left"/>
            </w:pPr>
            <w:r/>
            <w:r>
              <w:rPr>
                <w:rFonts w:ascii="Montserrat" w:hAnsi="Montserrat" w:eastAsia="Montserrat" w:cs="Montserrat"/>
                <w:b w:val="0"/>
                <w:i w:val="0"/>
                <w:sz w:val="20"/>
              </w:rPr>
              <w:t>High (supply)</w:t>
            </w:r>
          </w:p>
        </w:tc>
        <w:tc>
          <w:tcPr>
            <w:tcW w:type="dxa" w:w="2166"/>
            <w:tcBorders>
              <w:top w:val="single" w:sz="4" w:space="0" w:color="D6D3D1"/>
              <w:left w:val="single" w:sz="4" w:space="0" w:color="D6D3D1"/>
              <w:bottom w:val="single" w:sz="4" w:space="0" w:color="D6D3D1"/>
              <w:right w:val="single" w:sz="4" w:space="0" w:color="D6D3D1"/>
            </w:tcBorders>
            <w:shd w:fill="F4F1EE" w:val="clear"/>
          </w:tcPr>
          <w:p>
            <w:pPr>
              <w:spacing w:after="40" w:before="40" w:line="240" w:lineRule="auto"/>
              <w:jc w:val="left"/>
            </w:pPr>
            <w:r/>
            <w:r>
              <w:rPr>
                <w:rFonts w:ascii="Montserrat" w:hAnsi="Montserrat" w:eastAsia="Montserrat" w:cs="Montserrat"/>
                <w:b w:val="0"/>
                <w:i w:val="0"/>
                <w:sz w:val="20"/>
              </w:rPr>
              <w:t>Assignment algorithm plus human override</w:t>
            </w:r>
          </w:p>
        </w:tc>
      </w:tr>
      <w:tr>
        <w:tc>
          <w:tcPr>
            <w:tcW w:type="dxa" w:w="2166"/>
            <w:tcBorders>
              <w:top w:val="single" w:sz="4" w:space="0" w:color="D6D3D1"/>
              <w:left w:val="single" w:sz="4" w:space="0" w:color="D6D3D1"/>
              <w:bottom w:val="single" w:sz="4" w:space="0" w:color="D6D3D1"/>
              <w:right w:val="single" w:sz="4" w:space="0" w:color="D6D3D1"/>
            </w:tcBorders>
          </w:tcPr>
          <w:p>
            <w:pPr>
              <w:spacing w:after="40" w:before="40" w:line="240" w:lineRule="auto"/>
              <w:jc w:val="left"/>
            </w:pPr>
            <w:r/>
            <w:r>
              <w:rPr>
                <w:rFonts w:ascii="Montserrat" w:hAnsi="Montserrat" w:eastAsia="Montserrat" w:cs="Montserrat"/>
                <w:b w:val="0"/>
                <w:i w:val="0"/>
                <w:sz w:val="20"/>
              </w:rPr>
              <w:t>ED (Isaiah)</w:t>
            </w:r>
          </w:p>
        </w:tc>
        <w:tc>
          <w:tcPr>
            <w:tcW w:type="dxa" w:w="2166"/>
            <w:tcBorders>
              <w:top w:val="single" w:sz="4" w:space="0" w:color="D6D3D1"/>
              <w:left w:val="single" w:sz="4" w:space="0" w:color="D6D3D1"/>
              <w:bottom w:val="single" w:sz="4" w:space="0" w:color="D6D3D1"/>
              <w:right w:val="single" w:sz="4" w:space="0" w:color="D6D3D1"/>
            </w:tcBorders>
          </w:tcPr>
          <w:p>
            <w:pPr>
              <w:spacing w:after="40" w:before="40" w:line="240" w:lineRule="auto"/>
              <w:jc w:val="left"/>
            </w:pPr>
            <w:r/>
            <w:r>
              <w:rPr>
                <w:rFonts w:ascii="Montserrat" w:hAnsi="Montserrat" w:eastAsia="Montserrat" w:cs="Montserrat"/>
                <w:b w:val="0"/>
                <w:i w:val="0"/>
                <w:sz w:val="20"/>
              </w:rPr>
              <w:t>Mission, evidence, funders</w:t>
            </w:r>
          </w:p>
        </w:tc>
        <w:tc>
          <w:tcPr>
            <w:tcW w:type="dxa" w:w="2166"/>
            <w:tcBorders>
              <w:top w:val="single" w:sz="4" w:space="0" w:color="D6D3D1"/>
              <w:left w:val="single" w:sz="4" w:space="0" w:color="D6D3D1"/>
              <w:bottom w:val="single" w:sz="4" w:space="0" w:color="D6D3D1"/>
              <w:right w:val="single" w:sz="4" w:space="0" w:color="D6D3D1"/>
            </w:tcBorders>
          </w:tcPr>
          <w:p>
            <w:pPr>
              <w:spacing w:after="40" w:before="40" w:line="240" w:lineRule="auto"/>
              <w:jc w:val="left"/>
            </w:pPr>
            <w:r/>
            <w:r>
              <w:rPr>
                <w:rFonts w:ascii="Montserrat" w:hAnsi="Montserrat" w:eastAsia="Montserrat" w:cs="Montserrat"/>
                <w:b w:val="0"/>
                <w:i w:val="0"/>
                <w:sz w:val="20"/>
              </w:rPr>
              <w:t>High</w:t>
            </w:r>
          </w:p>
        </w:tc>
        <w:tc>
          <w:tcPr>
            <w:tcW w:type="dxa" w:w="2166"/>
            <w:tcBorders>
              <w:top w:val="single" w:sz="4" w:space="0" w:color="D6D3D1"/>
              <w:left w:val="single" w:sz="4" w:space="0" w:color="D6D3D1"/>
              <w:bottom w:val="single" w:sz="4" w:space="0" w:color="D6D3D1"/>
              <w:right w:val="single" w:sz="4" w:space="0" w:color="D6D3D1"/>
            </w:tcBorders>
          </w:tcPr>
          <w:p>
            <w:pPr>
              <w:spacing w:after="40" w:before="40" w:line="240" w:lineRule="auto"/>
              <w:jc w:val="left"/>
            </w:pPr>
            <w:r/>
            <w:r>
              <w:rPr>
                <w:rFonts w:ascii="Montserrat" w:hAnsi="Montserrat" w:eastAsia="Montserrat" w:cs="Montserrat"/>
                <w:b w:val="0"/>
                <w:i w:val="0"/>
                <w:sz w:val="20"/>
              </w:rPr>
              <w:t>Product owner; production gate</w:t>
            </w:r>
          </w:p>
        </w:tc>
      </w:tr>
      <w:tr>
        <w:tc>
          <w:tcPr>
            <w:tcW w:type="dxa" w:w="2166"/>
            <w:tcBorders>
              <w:top w:val="single" w:sz="4" w:space="0" w:color="D6D3D1"/>
              <w:left w:val="single" w:sz="4" w:space="0" w:color="D6D3D1"/>
              <w:bottom w:val="single" w:sz="4" w:space="0" w:color="D6D3D1"/>
              <w:right w:val="single" w:sz="4" w:space="0" w:color="D6D3D1"/>
            </w:tcBorders>
            <w:shd w:fill="F4F1EE" w:val="clear"/>
          </w:tcPr>
          <w:p>
            <w:pPr>
              <w:spacing w:after="40" w:before="40" w:line="240" w:lineRule="auto"/>
              <w:jc w:val="left"/>
            </w:pPr>
            <w:r/>
            <w:r>
              <w:rPr>
                <w:rFonts w:ascii="Montserrat" w:hAnsi="Montserrat" w:eastAsia="Montserrat" w:cs="Montserrat"/>
                <w:b w:val="0"/>
                <w:i w:val="0"/>
                <w:sz w:val="20"/>
              </w:rPr>
              <w:t>MD (Cynthia)</w:t>
            </w:r>
          </w:p>
        </w:tc>
        <w:tc>
          <w:tcPr>
            <w:tcW w:type="dxa" w:w="2166"/>
            <w:tcBorders>
              <w:top w:val="single" w:sz="4" w:space="0" w:color="D6D3D1"/>
              <w:left w:val="single" w:sz="4" w:space="0" w:color="D6D3D1"/>
              <w:bottom w:val="single" w:sz="4" w:space="0" w:color="D6D3D1"/>
              <w:right w:val="single" w:sz="4" w:space="0" w:color="D6D3D1"/>
            </w:tcBorders>
            <w:shd w:fill="F4F1EE" w:val="clear"/>
          </w:tcPr>
          <w:p>
            <w:pPr>
              <w:spacing w:after="40" w:before="40" w:line="240" w:lineRule="auto"/>
              <w:jc w:val="left"/>
            </w:pPr>
            <w:r/>
            <w:r>
              <w:rPr>
                <w:rFonts w:ascii="Montserrat" w:hAnsi="Montserrat" w:eastAsia="Montserrat" w:cs="Montserrat"/>
                <w:b w:val="0"/>
                <w:i w:val="0"/>
                <w:sz w:val="20"/>
              </w:rPr>
              <w:t>Cadence, partners, succession</w:t>
            </w:r>
          </w:p>
        </w:tc>
        <w:tc>
          <w:tcPr>
            <w:tcW w:type="dxa" w:w="2166"/>
            <w:tcBorders>
              <w:top w:val="single" w:sz="4" w:space="0" w:color="D6D3D1"/>
              <w:left w:val="single" w:sz="4" w:space="0" w:color="D6D3D1"/>
              <w:bottom w:val="single" w:sz="4" w:space="0" w:color="D6D3D1"/>
              <w:right w:val="single" w:sz="4" w:space="0" w:color="D6D3D1"/>
            </w:tcBorders>
            <w:shd w:fill="F4F1EE" w:val="clear"/>
          </w:tcPr>
          <w:p>
            <w:pPr>
              <w:spacing w:after="40" w:before="40" w:line="240" w:lineRule="auto"/>
              <w:jc w:val="left"/>
            </w:pPr>
            <w:r/>
            <w:r>
              <w:rPr>
                <w:rFonts w:ascii="Montserrat" w:hAnsi="Montserrat" w:eastAsia="Montserrat" w:cs="Montserrat"/>
                <w:b w:val="0"/>
                <w:i w:val="0"/>
                <w:sz w:val="20"/>
              </w:rPr>
              <w:t>High</w:t>
            </w:r>
          </w:p>
        </w:tc>
        <w:tc>
          <w:tcPr>
            <w:tcW w:type="dxa" w:w="2166"/>
            <w:tcBorders>
              <w:top w:val="single" w:sz="4" w:space="0" w:color="D6D3D1"/>
              <w:left w:val="single" w:sz="4" w:space="0" w:color="D6D3D1"/>
              <w:bottom w:val="single" w:sz="4" w:space="0" w:color="D6D3D1"/>
              <w:right w:val="single" w:sz="4" w:space="0" w:color="D6D3D1"/>
            </w:tcBorders>
            <w:shd w:fill="F4F1EE" w:val="clear"/>
          </w:tcPr>
          <w:p>
            <w:pPr>
              <w:spacing w:after="40" w:before="40" w:line="240" w:lineRule="auto"/>
              <w:jc w:val="left"/>
            </w:pPr>
            <w:r/>
            <w:r>
              <w:rPr>
                <w:rFonts w:ascii="Montserrat" w:hAnsi="Montserrat" w:eastAsia="Montserrat" w:cs="Montserrat"/>
                <w:b w:val="0"/>
                <w:i w:val="0"/>
                <w:sz w:val="20"/>
              </w:rPr>
              <w:t>Operational approver</w:t>
            </w:r>
          </w:p>
        </w:tc>
      </w:tr>
      <w:tr>
        <w:tc>
          <w:tcPr>
            <w:tcW w:type="dxa" w:w="2166"/>
            <w:tcBorders>
              <w:top w:val="single" w:sz="4" w:space="0" w:color="D6D3D1"/>
              <w:left w:val="single" w:sz="4" w:space="0" w:color="D6D3D1"/>
              <w:bottom w:val="single" w:sz="4" w:space="0" w:color="D6D3D1"/>
              <w:right w:val="single" w:sz="4" w:space="0" w:color="D6D3D1"/>
            </w:tcBorders>
          </w:tcPr>
          <w:p>
            <w:pPr>
              <w:spacing w:after="40" w:before="40" w:line="240" w:lineRule="auto"/>
              <w:jc w:val="left"/>
            </w:pPr>
            <w:r/>
            <w:r>
              <w:rPr>
                <w:rFonts w:ascii="Montserrat" w:hAnsi="Montserrat" w:eastAsia="Montserrat" w:cs="Montserrat"/>
                <w:b w:val="0"/>
                <w:i w:val="0"/>
                <w:sz w:val="20"/>
              </w:rPr>
              <w:t>ALU examiners</w:t>
            </w:r>
          </w:p>
        </w:tc>
        <w:tc>
          <w:tcPr>
            <w:tcW w:type="dxa" w:w="2166"/>
            <w:tcBorders>
              <w:top w:val="single" w:sz="4" w:space="0" w:color="D6D3D1"/>
              <w:left w:val="single" w:sz="4" w:space="0" w:color="D6D3D1"/>
              <w:bottom w:val="single" w:sz="4" w:space="0" w:color="D6D3D1"/>
              <w:right w:val="single" w:sz="4" w:space="0" w:color="D6D3D1"/>
            </w:tcBorders>
          </w:tcPr>
          <w:p>
            <w:pPr>
              <w:spacing w:after="40" w:before="40" w:line="240" w:lineRule="auto"/>
              <w:jc w:val="left"/>
            </w:pPr>
            <w:r/>
            <w:r>
              <w:rPr>
                <w:rFonts w:ascii="Montserrat" w:hAnsi="Montserrat" w:eastAsia="Montserrat" w:cs="Montserrat"/>
                <w:b w:val="0"/>
                <w:i w:val="0"/>
                <w:sz w:val="20"/>
              </w:rPr>
              <w:t>Implemented project, honest limits</w:t>
            </w:r>
          </w:p>
        </w:tc>
        <w:tc>
          <w:tcPr>
            <w:tcW w:type="dxa" w:w="2166"/>
            <w:tcBorders>
              <w:top w:val="single" w:sz="4" w:space="0" w:color="D6D3D1"/>
              <w:left w:val="single" w:sz="4" w:space="0" w:color="D6D3D1"/>
              <w:bottom w:val="single" w:sz="4" w:space="0" w:color="D6D3D1"/>
              <w:right w:val="single" w:sz="4" w:space="0" w:color="D6D3D1"/>
            </w:tcBorders>
          </w:tcPr>
          <w:p>
            <w:pPr>
              <w:spacing w:after="40" w:before="40" w:line="240" w:lineRule="auto"/>
              <w:jc w:val="left"/>
            </w:pPr>
            <w:r/>
            <w:r>
              <w:rPr>
                <w:rFonts w:ascii="Montserrat" w:hAnsi="Montserrat" w:eastAsia="Montserrat" w:cs="Montserrat"/>
                <w:b w:val="0"/>
                <w:i w:val="0"/>
                <w:sz w:val="20"/>
              </w:rPr>
              <w:t>High (grade)</w:t>
            </w:r>
          </w:p>
        </w:tc>
        <w:tc>
          <w:tcPr>
            <w:tcW w:type="dxa" w:w="2166"/>
            <w:tcBorders>
              <w:top w:val="single" w:sz="4" w:space="0" w:color="D6D3D1"/>
              <w:left w:val="single" w:sz="4" w:space="0" w:color="D6D3D1"/>
              <w:bottom w:val="single" w:sz="4" w:space="0" w:color="D6D3D1"/>
              <w:right w:val="single" w:sz="4" w:space="0" w:color="D6D3D1"/>
            </w:tcBorders>
          </w:tcPr>
          <w:p>
            <w:pPr>
              <w:spacing w:after="40" w:before="40" w:line="240" w:lineRule="auto"/>
              <w:jc w:val="left"/>
            </w:pPr>
            <w:r/>
            <w:r>
              <w:rPr>
                <w:rFonts w:ascii="Montserrat" w:hAnsi="Montserrat" w:eastAsia="Montserrat" w:cs="Montserrat"/>
                <w:b w:val="0"/>
                <w:i w:val="0"/>
                <w:sz w:val="20"/>
              </w:rPr>
              <w:t>Staging demo, not slideware</w:t>
            </w:r>
          </w:p>
        </w:tc>
      </w:tr>
      <w:tr>
        <w:tc>
          <w:tcPr>
            <w:tcW w:type="dxa" w:w="2166"/>
            <w:tcBorders>
              <w:top w:val="single" w:sz="4" w:space="0" w:color="D6D3D1"/>
              <w:left w:val="single" w:sz="4" w:space="0" w:color="D6D3D1"/>
              <w:bottom w:val="single" w:sz="4" w:space="0" w:color="D6D3D1"/>
              <w:right w:val="single" w:sz="4" w:space="0" w:color="D6D3D1"/>
            </w:tcBorders>
            <w:shd w:fill="F4F1EE" w:val="clear"/>
          </w:tcPr>
          <w:p>
            <w:pPr>
              <w:spacing w:after="40" w:before="40" w:line="240" w:lineRule="auto"/>
              <w:jc w:val="left"/>
            </w:pPr>
            <w:r/>
            <w:r>
              <w:rPr>
                <w:rFonts w:ascii="Montserrat" w:hAnsi="Montserrat" w:eastAsia="Montserrat" w:cs="Montserrat"/>
                <w:b w:val="0"/>
                <w:i w:val="0"/>
                <w:sz w:val="20"/>
              </w:rPr>
              <w:t>Funders / partners</w:t>
            </w:r>
          </w:p>
        </w:tc>
        <w:tc>
          <w:tcPr>
            <w:tcW w:type="dxa" w:w="2166"/>
            <w:tcBorders>
              <w:top w:val="single" w:sz="4" w:space="0" w:color="D6D3D1"/>
              <w:left w:val="single" w:sz="4" w:space="0" w:color="D6D3D1"/>
              <w:bottom w:val="single" w:sz="4" w:space="0" w:color="D6D3D1"/>
              <w:right w:val="single" w:sz="4" w:space="0" w:color="D6D3D1"/>
            </w:tcBorders>
            <w:shd w:fill="F4F1EE" w:val="clear"/>
          </w:tcPr>
          <w:p>
            <w:pPr>
              <w:spacing w:after="40" w:before="40" w:line="240" w:lineRule="auto"/>
              <w:jc w:val="left"/>
            </w:pPr>
            <w:r/>
            <w:r>
              <w:rPr>
                <w:rFonts w:ascii="Montserrat" w:hAnsi="Montserrat" w:eastAsia="Montserrat" w:cs="Montserrat"/>
                <w:b w:val="0"/>
                <w:i w:val="0"/>
                <w:sz w:val="20"/>
              </w:rPr>
              <w:t>Impact panel, compliance</w:t>
            </w:r>
          </w:p>
        </w:tc>
        <w:tc>
          <w:tcPr>
            <w:tcW w:type="dxa" w:w="2166"/>
            <w:tcBorders>
              <w:top w:val="single" w:sz="4" w:space="0" w:color="D6D3D1"/>
              <w:left w:val="single" w:sz="4" w:space="0" w:color="D6D3D1"/>
              <w:bottom w:val="single" w:sz="4" w:space="0" w:color="D6D3D1"/>
              <w:right w:val="single" w:sz="4" w:space="0" w:color="D6D3D1"/>
            </w:tcBorders>
            <w:shd w:fill="F4F1EE" w:val="clear"/>
          </w:tcPr>
          <w:p>
            <w:pPr>
              <w:spacing w:after="40" w:before="40" w:line="240" w:lineRule="auto"/>
              <w:jc w:val="left"/>
            </w:pPr>
            <w:r/>
            <w:r>
              <w:rPr>
                <w:rFonts w:ascii="Montserrat" w:hAnsi="Montserrat" w:eastAsia="Montserrat" w:cs="Montserrat"/>
                <w:b w:val="0"/>
                <w:i w:val="0"/>
                <w:sz w:val="20"/>
              </w:rPr>
              <w:t>Medium–high</w:t>
            </w:r>
          </w:p>
        </w:tc>
        <w:tc>
          <w:tcPr>
            <w:tcW w:type="dxa" w:w="2166"/>
            <w:tcBorders>
              <w:top w:val="single" w:sz="4" w:space="0" w:color="D6D3D1"/>
              <w:left w:val="single" w:sz="4" w:space="0" w:color="D6D3D1"/>
              <w:bottom w:val="single" w:sz="4" w:space="0" w:color="D6D3D1"/>
              <w:right w:val="single" w:sz="4" w:space="0" w:color="D6D3D1"/>
            </w:tcBorders>
            <w:shd w:fill="F4F1EE" w:val="clear"/>
          </w:tcPr>
          <w:p>
            <w:pPr>
              <w:spacing w:after="40" w:before="40" w:line="240" w:lineRule="auto"/>
              <w:jc w:val="left"/>
            </w:pPr>
            <w:r/>
            <w:r>
              <w:rPr>
                <w:rFonts w:ascii="Montserrat" w:hAnsi="Montserrat" w:eastAsia="Montserrat" w:cs="Montserrat"/>
                <w:b w:val="0"/>
                <w:i w:val="0"/>
                <w:sz w:val="20"/>
              </w:rPr>
              <w:t>Do not lead with unverified AUC</w:t>
            </w:r>
          </w:p>
        </w:tc>
      </w:tr>
      <w:tr>
        <w:tc>
          <w:tcPr>
            <w:tcW w:type="dxa" w:w="2166"/>
            <w:tcBorders>
              <w:top w:val="single" w:sz="4" w:space="0" w:color="D6D3D1"/>
              <w:left w:val="single" w:sz="4" w:space="0" w:color="D6D3D1"/>
              <w:bottom w:val="single" w:sz="4" w:space="0" w:color="D6D3D1"/>
              <w:right w:val="single" w:sz="4" w:space="0" w:color="D6D3D1"/>
            </w:tcBorders>
          </w:tcPr>
          <w:p>
            <w:pPr>
              <w:spacing w:after="40" w:before="40" w:line="240" w:lineRule="auto"/>
              <w:jc w:val="left"/>
            </w:pPr>
            <w:r/>
            <w:r>
              <w:rPr>
                <w:rFonts w:ascii="Montserrat" w:hAnsi="Montserrat" w:eastAsia="Montserrat" w:cs="Montserrat"/>
                <w:b w:val="0"/>
                <w:i w:val="0"/>
                <w:sz w:val="20"/>
              </w:rPr>
              <w:t>RGB / regulators</w:t>
            </w:r>
          </w:p>
        </w:tc>
        <w:tc>
          <w:tcPr>
            <w:tcW w:type="dxa" w:w="2166"/>
            <w:tcBorders>
              <w:top w:val="single" w:sz="4" w:space="0" w:color="D6D3D1"/>
              <w:left w:val="single" w:sz="4" w:space="0" w:color="D6D3D1"/>
              <w:bottom w:val="single" w:sz="4" w:space="0" w:color="D6D3D1"/>
              <w:right w:val="single" w:sz="4" w:space="0" w:color="D6D3D1"/>
            </w:tcBorders>
          </w:tcPr>
          <w:p>
            <w:pPr>
              <w:spacing w:after="40" w:before="40" w:line="240" w:lineRule="auto"/>
              <w:jc w:val="left"/>
            </w:pPr>
            <w:r/>
            <w:r>
              <w:rPr>
                <w:rFonts w:ascii="Montserrat" w:hAnsi="Montserrat" w:eastAsia="Montserrat" w:cs="Montserrat"/>
                <w:b w:val="0"/>
                <w:i w:val="0"/>
                <w:sz w:val="20"/>
              </w:rPr>
              <w:t>Lawful trust operations</w:t>
            </w:r>
          </w:p>
        </w:tc>
        <w:tc>
          <w:tcPr>
            <w:tcW w:type="dxa" w:w="2166"/>
            <w:tcBorders>
              <w:top w:val="single" w:sz="4" w:space="0" w:color="D6D3D1"/>
              <w:left w:val="single" w:sz="4" w:space="0" w:color="D6D3D1"/>
              <w:bottom w:val="single" w:sz="4" w:space="0" w:color="D6D3D1"/>
              <w:right w:val="single" w:sz="4" w:space="0" w:color="D6D3D1"/>
            </w:tcBorders>
          </w:tcPr>
          <w:p>
            <w:pPr>
              <w:spacing w:after="40" w:before="40" w:line="240" w:lineRule="auto"/>
              <w:jc w:val="left"/>
            </w:pPr>
            <w:r/>
            <w:r>
              <w:rPr>
                <w:rFonts w:ascii="Montserrat" w:hAnsi="Montserrat" w:eastAsia="Montserrat" w:cs="Montserrat"/>
                <w:b w:val="0"/>
                <w:i w:val="0"/>
                <w:sz w:val="20"/>
              </w:rPr>
              <w:t>High (licence)</w:t>
            </w:r>
          </w:p>
        </w:tc>
        <w:tc>
          <w:tcPr>
            <w:tcW w:type="dxa" w:w="2166"/>
            <w:tcBorders>
              <w:top w:val="single" w:sz="4" w:space="0" w:color="D6D3D1"/>
              <w:left w:val="single" w:sz="4" w:space="0" w:color="D6D3D1"/>
              <w:bottom w:val="single" w:sz="4" w:space="0" w:color="D6D3D1"/>
              <w:right w:val="single" w:sz="4" w:space="0" w:color="D6D3D1"/>
            </w:tcBorders>
          </w:tcPr>
          <w:p>
            <w:pPr>
              <w:spacing w:after="40" w:before="40" w:line="240" w:lineRule="auto"/>
              <w:jc w:val="left"/>
            </w:pPr>
            <w:r/>
            <w:r>
              <w:rPr>
                <w:rFonts w:ascii="Montserrat" w:hAnsi="Montserrat" w:eastAsia="Montserrat" w:cs="Montserrat"/>
                <w:b w:val="0"/>
                <w:i w:val="0"/>
                <w:sz w:val="20"/>
              </w:rPr>
              <w:t>Consent, reporting, legal seat</w:t>
            </w:r>
          </w:p>
        </w:tc>
      </w:tr>
      <w:tr>
        <w:tc>
          <w:tcPr>
            <w:tcW w:type="dxa" w:w="2166"/>
            <w:tcBorders>
              <w:top w:val="single" w:sz="4" w:space="0" w:color="D6D3D1"/>
              <w:left w:val="single" w:sz="4" w:space="0" w:color="D6D3D1"/>
              <w:bottom w:val="single" w:sz="4" w:space="0" w:color="D6D3D1"/>
              <w:right w:val="single" w:sz="4" w:space="0" w:color="D6D3D1"/>
            </w:tcBorders>
            <w:shd w:fill="F4F1EE" w:val="clear"/>
          </w:tcPr>
          <w:p>
            <w:pPr>
              <w:spacing w:after="40" w:before="40" w:line="240" w:lineRule="auto"/>
              <w:jc w:val="left"/>
            </w:pPr>
            <w:r/>
            <w:r>
              <w:rPr>
                <w:rFonts w:ascii="Montserrat" w:hAnsi="Montserrat" w:eastAsia="Montserrat" w:cs="Montserrat"/>
                <w:b w:val="0"/>
                <w:i w:val="0"/>
                <w:sz w:val="20"/>
              </w:rPr>
              <w:t>List-site competitors</w:t>
            </w:r>
          </w:p>
        </w:tc>
        <w:tc>
          <w:tcPr>
            <w:tcW w:type="dxa" w:w="2166"/>
            <w:tcBorders>
              <w:top w:val="single" w:sz="4" w:space="0" w:color="D6D3D1"/>
              <w:left w:val="single" w:sz="4" w:space="0" w:color="D6D3D1"/>
              <w:bottom w:val="single" w:sz="4" w:space="0" w:color="D6D3D1"/>
              <w:right w:val="single" w:sz="4" w:space="0" w:color="D6D3D1"/>
            </w:tcBorders>
            <w:shd w:fill="F4F1EE" w:val="clear"/>
          </w:tcPr>
          <w:p>
            <w:pPr>
              <w:spacing w:after="40" w:before="40" w:line="240" w:lineRule="auto"/>
              <w:jc w:val="left"/>
            </w:pPr>
            <w:r/>
            <w:r>
              <w:rPr>
                <w:rFonts w:ascii="Montserrat" w:hAnsi="Montserrat" w:eastAsia="Montserrat" w:cs="Montserrat"/>
                <w:b w:val="0"/>
                <w:i w:val="0"/>
                <w:sz w:val="20"/>
              </w:rPr>
              <w:t>Attention</w:t>
            </w:r>
          </w:p>
        </w:tc>
        <w:tc>
          <w:tcPr>
            <w:tcW w:type="dxa" w:w="2166"/>
            <w:tcBorders>
              <w:top w:val="single" w:sz="4" w:space="0" w:color="D6D3D1"/>
              <w:left w:val="single" w:sz="4" w:space="0" w:color="D6D3D1"/>
              <w:bottom w:val="single" w:sz="4" w:space="0" w:color="D6D3D1"/>
              <w:right w:val="single" w:sz="4" w:space="0" w:color="D6D3D1"/>
            </w:tcBorders>
            <w:shd w:fill="F4F1EE" w:val="clear"/>
          </w:tcPr>
          <w:p>
            <w:pPr>
              <w:spacing w:after="40" w:before="40" w:line="240" w:lineRule="auto"/>
              <w:jc w:val="left"/>
            </w:pPr>
            <w:r/>
            <w:r>
              <w:rPr>
                <w:rFonts w:ascii="Montserrat" w:hAnsi="Montserrat" w:eastAsia="Montserrat" w:cs="Montserrat"/>
                <w:b w:val="0"/>
                <w:i w:val="0"/>
                <w:sz w:val="20"/>
              </w:rPr>
              <w:t>Low over ESL cohort</w:t>
            </w:r>
          </w:p>
        </w:tc>
        <w:tc>
          <w:tcPr>
            <w:tcW w:type="dxa" w:w="2166"/>
            <w:tcBorders>
              <w:top w:val="single" w:sz="4" w:space="0" w:color="D6D3D1"/>
              <w:left w:val="single" w:sz="4" w:space="0" w:color="D6D3D1"/>
              <w:bottom w:val="single" w:sz="4" w:space="0" w:color="D6D3D1"/>
              <w:right w:val="single" w:sz="4" w:space="0" w:color="D6D3D1"/>
            </w:tcBorders>
            <w:shd w:fill="F4F1EE" w:val="clear"/>
          </w:tcPr>
          <w:p>
            <w:pPr>
              <w:spacing w:after="40" w:before="40" w:line="240" w:lineRule="auto"/>
              <w:jc w:val="left"/>
            </w:pPr>
            <w:r/>
            <w:r>
              <w:rPr>
                <w:rFonts w:ascii="Montserrat" w:hAnsi="Montserrat" w:eastAsia="Montserrat" w:cs="Montserrat"/>
                <w:b w:val="0"/>
                <w:i w:val="0"/>
                <w:sz w:val="20"/>
              </w:rPr>
              <w:t>Do not copy their metric of “more listings”</w:t>
            </w:r>
          </w:p>
        </w:tc>
      </w:tr>
    </w:tbl>
    <w:p/>
    <w:p>
      <w:pPr>
        <w:spacing w:after="120" w:before="240" w:line="276" w:lineRule="auto"/>
        <w:jc w:val="left"/>
      </w:pPr>
      <w:r>
        <w:rPr>
          <w:rFonts w:ascii="Montserrat" w:hAnsi="Montserrat" w:eastAsia="Montserrat" w:cs="Montserrat"/>
          <w:b/>
          <w:i w:val="0"/>
          <w:color w:val="0D1B2A"/>
          <w:sz w:val="22"/>
        </w:rPr>
        <w:t>2.6 Risk Assessment</w:t>
      </w:r>
    </w:p>
    <w:p>
      <w:pPr>
        <w:spacing w:after="160" w:before="0" w:line="360" w:lineRule="auto"/>
        <w:jc w:val="both"/>
      </w:pPr>
      <w:r>
        <w:rPr>
          <w:rFonts w:ascii="Montserrat" w:hAnsi="Montserrat" w:eastAsia="Montserrat" w:cs="Montserrat"/>
          <w:b w:val="0"/>
          <w:i w:val="0"/>
          <w:sz w:val="22"/>
        </w:rPr>
        <w:t>Risks are planning weights, not actuarial estimates.</w:t>
      </w:r>
    </w:p>
    <w:tbl>
      <w:tblPr>
        <w:tblW w:type="auto" w:w="0"/>
        <w:jc w:val="center"/>
        <w:tblLayout w:type="autofit"/>
        <w:tblLook w:firstColumn="1" w:firstRow="1" w:lastColumn="0" w:lastRow="0" w:noHBand="0" w:noVBand="1" w:val="04A0"/>
      </w:tblPr>
      <w:tblGrid>
        <w:gridCol w:w="2889"/>
        <w:gridCol w:w="2889"/>
        <w:gridCol w:w="2889"/>
      </w:tblGrid>
      <w:tr>
        <w:tc>
          <w:tcPr>
            <w:tcW w:type="dxa" w:w="2889"/>
            <w:tcBorders>
              <w:top w:val="single" w:sz="4" w:space="0" w:color="D6D3D1"/>
              <w:left w:val="single" w:sz="4" w:space="0" w:color="D6D3D1"/>
              <w:bottom w:val="single" w:sz="4" w:space="0" w:color="D6D3D1"/>
              <w:right w:val="single" w:sz="4" w:space="0" w:color="D6D3D1"/>
            </w:tcBorders>
            <w:shd w:fill="0D1B2A" w:val="clear"/>
          </w:tcPr>
          <w:p>
            <w:pPr>
              <w:spacing w:after="40" w:before="40" w:line="240" w:lineRule="auto"/>
              <w:jc w:val="left"/>
            </w:pPr>
            <w:r>
              <w:rPr>
                <w:color w:val="FFFFFF"/>
              </w:rPr>
            </w:r>
            <w:r>
              <w:rPr>
                <w:rFonts w:ascii="Montserrat" w:hAnsi="Montserrat" w:eastAsia="Montserrat" w:cs="Montserrat"/>
                <w:b/>
                <w:i w:val="0"/>
                <w:color w:val="FFFFFF"/>
                <w:sz w:val="20"/>
              </w:rPr>
              <w:t>Risk</w:t>
            </w:r>
          </w:p>
        </w:tc>
        <w:tc>
          <w:tcPr>
            <w:tcW w:type="dxa" w:w="2889"/>
            <w:tcBorders>
              <w:top w:val="single" w:sz="4" w:space="0" w:color="D6D3D1"/>
              <w:left w:val="single" w:sz="4" w:space="0" w:color="D6D3D1"/>
              <w:bottom w:val="single" w:sz="4" w:space="0" w:color="D6D3D1"/>
              <w:right w:val="single" w:sz="4" w:space="0" w:color="D6D3D1"/>
            </w:tcBorders>
            <w:shd w:fill="0D1B2A" w:val="clear"/>
          </w:tcPr>
          <w:p>
            <w:pPr>
              <w:spacing w:after="40" w:before="40" w:line="240" w:lineRule="auto"/>
              <w:jc w:val="left"/>
            </w:pPr>
            <w:r>
              <w:rPr>
                <w:color w:val="FFFFFF"/>
              </w:rPr>
            </w:r>
            <w:r>
              <w:rPr>
                <w:rFonts w:ascii="Montserrat" w:hAnsi="Montserrat" w:eastAsia="Montserrat" w:cs="Montserrat"/>
                <w:b/>
                <w:i w:val="0"/>
                <w:color w:val="FFFFFF"/>
                <w:sz w:val="20"/>
              </w:rPr>
              <w:t>Why it matters</w:t>
            </w:r>
          </w:p>
        </w:tc>
        <w:tc>
          <w:tcPr>
            <w:tcW w:type="dxa" w:w="2889"/>
            <w:tcBorders>
              <w:top w:val="single" w:sz="4" w:space="0" w:color="D6D3D1"/>
              <w:left w:val="single" w:sz="4" w:space="0" w:color="D6D3D1"/>
              <w:bottom w:val="single" w:sz="4" w:space="0" w:color="D6D3D1"/>
              <w:right w:val="single" w:sz="4" w:space="0" w:color="D6D3D1"/>
            </w:tcBorders>
            <w:shd w:fill="0D1B2A" w:val="clear"/>
          </w:tcPr>
          <w:p>
            <w:pPr>
              <w:spacing w:after="40" w:before="40" w:line="240" w:lineRule="auto"/>
              <w:jc w:val="left"/>
            </w:pPr>
            <w:r>
              <w:rPr>
                <w:color w:val="FFFFFF"/>
              </w:rPr>
            </w:r>
            <w:r>
              <w:rPr>
                <w:rFonts w:ascii="Montserrat" w:hAnsi="Montserrat" w:eastAsia="Montserrat" w:cs="Montserrat"/>
                <w:b/>
                <w:i w:val="0"/>
                <w:color w:val="FFFFFF"/>
                <w:sz w:val="20"/>
              </w:rPr>
              <w:t>Mitigation</w:t>
            </w:r>
          </w:p>
        </w:tc>
      </w:tr>
      <w:tr>
        <w:tc>
          <w:tcPr>
            <w:tcW w:type="dxa" w:w="2889"/>
            <w:tcBorders>
              <w:top w:val="single" w:sz="4" w:space="0" w:color="D6D3D1"/>
              <w:left w:val="single" w:sz="4" w:space="0" w:color="D6D3D1"/>
              <w:bottom w:val="single" w:sz="4" w:space="0" w:color="D6D3D1"/>
              <w:right w:val="single" w:sz="4" w:space="0" w:color="D6D3D1"/>
            </w:tcBorders>
          </w:tcPr>
          <w:p>
            <w:pPr>
              <w:spacing w:after="40" w:before="40" w:line="240" w:lineRule="auto"/>
              <w:jc w:val="left"/>
            </w:pPr>
            <w:r/>
            <w:r>
              <w:rPr>
                <w:rFonts w:ascii="Montserrat" w:hAnsi="Montserrat" w:eastAsia="Montserrat" w:cs="Montserrat"/>
                <w:b w:val="0"/>
                <w:i w:val="0"/>
                <w:sz w:val="20"/>
              </w:rPr>
              <w:t>Founder transition without board</w:t>
            </w:r>
          </w:p>
        </w:tc>
        <w:tc>
          <w:tcPr>
            <w:tcW w:type="dxa" w:w="2889"/>
            <w:tcBorders>
              <w:top w:val="single" w:sz="4" w:space="0" w:color="D6D3D1"/>
              <w:left w:val="single" w:sz="4" w:space="0" w:color="D6D3D1"/>
              <w:bottom w:val="single" w:sz="4" w:space="0" w:color="D6D3D1"/>
              <w:right w:val="single" w:sz="4" w:space="0" w:color="D6D3D1"/>
            </w:tcBorders>
          </w:tcPr>
          <w:p>
            <w:pPr>
              <w:spacing w:after="40" w:before="40" w:line="240" w:lineRule="auto"/>
              <w:jc w:val="left"/>
            </w:pPr>
            <w:r/>
            <w:r>
              <w:rPr>
                <w:rFonts w:ascii="Montserrat" w:hAnsi="Montserrat" w:eastAsia="Montserrat" w:cs="Montserrat"/>
                <w:b w:val="0"/>
                <w:i w:val="0"/>
                <w:sz w:val="20"/>
              </w:rPr>
              <w:t>Authority and donor confidence sit in one person</w:t>
            </w:r>
          </w:p>
        </w:tc>
        <w:tc>
          <w:tcPr>
            <w:tcW w:type="dxa" w:w="2889"/>
            <w:tcBorders>
              <w:top w:val="single" w:sz="4" w:space="0" w:color="D6D3D1"/>
              <w:left w:val="single" w:sz="4" w:space="0" w:color="D6D3D1"/>
              <w:bottom w:val="single" w:sz="4" w:space="0" w:color="D6D3D1"/>
              <w:right w:val="single" w:sz="4" w:space="0" w:color="D6D3D1"/>
            </w:tcBorders>
          </w:tcPr>
          <w:p>
            <w:pPr>
              <w:spacing w:after="40" w:before="40" w:line="240" w:lineRule="auto"/>
              <w:jc w:val="left"/>
            </w:pPr>
            <w:r/>
            <w:r>
              <w:rPr>
                <w:rFonts w:ascii="Montserrat" w:hAnsi="Montserrat" w:eastAsia="Montserrat" w:cs="Montserrat"/>
                <w:b w:val="0"/>
                <w:i w:val="0"/>
                <w:sz w:val="20"/>
              </w:rPr>
              <w:t>Finance/legal trustees; MD succession pack</w:t>
            </w:r>
          </w:p>
        </w:tc>
      </w:tr>
      <w:tr>
        <w:tc>
          <w:tcPr>
            <w:tcW w:type="dxa" w:w="2889"/>
            <w:tcBorders>
              <w:top w:val="single" w:sz="4" w:space="0" w:color="D6D3D1"/>
              <w:left w:val="single" w:sz="4" w:space="0" w:color="D6D3D1"/>
              <w:bottom w:val="single" w:sz="4" w:space="0" w:color="D6D3D1"/>
              <w:right w:val="single" w:sz="4" w:space="0" w:color="D6D3D1"/>
            </w:tcBorders>
            <w:shd w:fill="F4F1EE" w:val="clear"/>
          </w:tcPr>
          <w:p>
            <w:pPr>
              <w:spacing w:after="40" w:before="40" w:line="240" w:lineRule="auto"/>
              <w:jc w:val="left"/>
            </w:pPr>
            <w:r/>
            <w:r>
              <w:rPr>
                <w:rFonts w:ascii="Montserrat" w:hAnsi="Montserrat" w:eastAsia="Montserrat" w:cs="Montserrat"/>
                <w:b w:val="0"/>
                <w:i w:val="0"/>
                <w:sz w:val="20"/>
              </w:rPr>
              <w:t>Grant concentration</w:t>
            </w:r>
          </w:p>
        </w:tc>
        <w:tc>
          <w:tcPr>
            <w:tcW w:type="dxa" w:w="2889"/>
            <w:tcBorders>
              <w:top w:val="single" w:sz="4" w:space="0" w:color="D6D3D1"/>
              <w:left w:val="single" w:sz="4" w:space="0" w:color="D6D3D1"/>
              <w:bottom w:val="single" w:sz="4" w:space="0" w:color="D6D3D1"/>
              <w:right w:val="single" w:sz="4" w:space="0" w:color="D6D3D1"/>
            </w:tcBorders>
            <w:shd w:fill="F4F1EE" w:val="clear"/>
          </w:tcPr>
          <w:p>
            <w:pPr>
              <w:spacing w:after="40" w:before="40" w:line="240" w:lineRule="auto"/>
              <w:jc w:val="left"/>
            </w:pPr>
            <w:r/>
            <w:r>
              <w:rPr>
                <w:rFonts w:ascii="Montserrat" w:hAnsi="Montserrat" w:eastAsia="Montserrat" w:cs="Montserrat"/>
                <w:b w:val="0"/>
                <w:i w:val="0"/>
                <w:sz w:val="20"/>
              </w:rPr>
              <w:t>Runway shock freezes curation and mentors</w:t>
            </w:r>
          </w:p>
        </w:tc>
        <w:tc>
          <w:tcPr>
            <w:tcW w:type="dxa" w:w="2889"/>
            <w:tcBorders>
              <w:top w:val="single" w:sz="4" w:space="0" w:color="D6D3D1"/>
              <w:left w:val="single" w:sz="4" w:space="0" w:color="D6D3D1"/>
              <w:bottom w:val="single" w:sz="4" w:space="0" w:color="D6D3D1"/>
              <w:right w:val="single" w:sz="4" w:space="0" w:color="D6D3D1"/>
            </w:tcBorders>
            <w:shd w:fill="F4F1EE" w:val="clear"/>
          </w:tcPr>
          <w:p>
            <w:pPr>
              <w:spacing w:after="40" w:before="40" w:line="240" w:lineRule="auto"/>
              <w:jc w:val="left"/>
            </w:pPr>
            <w:r/>
            <w:r>
              <w:rPr>
                <w:rFonts w:ascii="Montserrat" w:hAnsi="Montserrat" w:eastAsia="Montserrat" w:cs="Montserrat"/>
                <w:b w:val="0"/>
                <w:i w:val="0"/>
                <w:sz w:val="20"/>
              </w:rPr>
              <w:t>6-month cash plan; partner seats; non-grant share targets</w:t>
            </w:r>
          </w:p>
        </w:tc>
      </w:tr>
      <w:tr>
        <w:tc>
          <w:tcPr>
            <w:tcW w:type="dxa" w:w="2889"/>
            <w:tcBorders>
              <w:top w:val="single" w:sz="4" w:space="0" w:color="D6D3D1"/>
              <w:left w:val="single" w:sz="4" w:space="0" w:color="D6D3D1"/>
              <w:bottom w:val="single" w:sz="4" w:space="0" w:color="D6D3D1"/>
              <w:right w:val="single" w:sz="4" w:space="0" w:color="D6D3D1"/>
            </w:tcBorders>
          </w:tcPr>
          <w:p>
            <w:pPr>
              <w:spacing w:after="40" w:before="40" w:line="240" w:lineRule="auto"/>
              <w:jc w:val="left"/>
            </w:pPr>
            <w:r/>
            <w:r>
              <w:rPr>
                <w:rFonts w:ascii="Montserrat" w:hAnsi="Montserrat" w:eastAsia="Montserrat" w:cs="Montserrat"/>
                <w:b w:val="0"/>
                <w:i w:val="0"/>
                <w:sz w:val="20"/>
              </w:rPr>
              <w:t>AI overclaim</w:t>
            </w:r>
          </w:p>
        </w:tc>
        <w:tc>
          <w:tcPr>
            <w:tcW w:type="dxa" w:w="2889"/>
            <w:tcBorders>
              <w:top w:val="single" w:sz="4" w:space="0" w:color="D6D3D1"/>
              <w:left w:val="single" w:sz="4" w:space="0" w:color="D6D3D1"/>
              <w:bottom w:val="single" w:sz="4" w:space="0" w:color="D6D3D1"/>
              <w:right w:val="single" w:sz="4" w:space="0" w:color="D6D3D1"/>
            </w:tcBorders>
          </w:tcPr>
          <w:p>
            <w:pPr>
              <w:spacing w:after="40" w:before="40" w:line="240" w:lineRule="auto"/>
              <w:jc w:val="left"/>
            </w:pPr>
            <w:r/>
            <w:r>
              <w:rPr>
                <w:rFonts w:ascii="Montserrat" w:hAnsi="Montserrat" w:eastAsia="Montserrat" w:cs="Montserrat"/>
                <w:b w:val="0"/>
                <w:i w:val="0"/>
                <w:sz w:val="20"/>
              </w:rPr>
              <w:t>Trust failure with scholars and examiners</w:t>
            </w:r>
          </w:p>
        </w:tc>
        <w:tc>
          <w:tcPr>
            <w:tcW w:type="dxa" w:w="2889"/>
            <w:tcBorders>
              <w:top w:val="single" w:sz="4" w:space="0" w:color="D6D3D1"/>
              <w:left w:val="single" w:sz="4" w:space="0" w:color="D6D3D1"/>
              <w:bottom w:val="single" w:sz="4" w:space="0" w:color="D6D3D1"/>
              <w:right w:val="single" w:sz="4" w:space="0" w:color="D6D3D1"/>
            </w:tcBorders>
          </w:tcPr>
          <w:p>
            <w:pPr>
              <w:spacing w:after="40" w:before="40" w:line="240" w:lineRule="auto"/>
              <w:jc w:val="left"/>
            </w:pPr>
            <w:r/>
            <w:r>
              <w:rPr>
                <w:rFonts w:ascii="Montserrat" w:hAnsi="Montserrat" w:eastAsia="Montserrat" w:cs="Montserrat"/>
                <w:b w:val="0"/>
                <w:i w:val="0"/>
                <w:sz w:val="20"/>
              </w:rPr>
              <w:t>Synthetic AUC caveat; live labels; human override</w:t>
            </w:r>
          </w:p>
        </w:tc>
      </w:tr>
      <w:tr>
        <w:tc>
          <w:tcPr>
            <w:tcW w:type="dxa" w:w="2889"/>
            <w:tcBorders>
              <w:top w:val="single" w:sz="4" w:space="0" w:color="D6D3D1"/>
              <w:left w:val="single" w:sz="4" w:space="0" w:color="D6D3D1"/>
              <w:bottom w:val="single" w:sz="4" w:space="0" w:color="D6D3D1"/>
              <w:right w:val="single" w:sz="4" w:space="0" w:color="D6D3D1"/>
            </w:tcBorders>
            <w:shd w:fill="F4F1EE" w:val="clear"/>
          </w:tcPr>
          <w:p>
            <w:pPr>
              <w:spacing w:after="40" w:before="40" w:line="240" w:lineRule="auto"/>
              <w:jc w:val="left"/>
            </w:pPr>
            <w:r/>
            <w:r>
              <w:rPr>
                <w:rFonts w:ascii="Montserrat" w:hAnsi="Montserrat" w:eastAsia="Montserrat" w:cs="Montserrat"/>
                <w:b w:val="0"/>
                <w:i w:val="0"/>
                <w:sz w:val="20"/>
              </w:rPr>
              <w:t>Mentor supply collapse</w:t>
            </w:r>
          </w:p>
        </w:tc>
        <w:tc>
          <w:tcPr>
            <w:tcW w:type="dxa" w:w="2889"/>
            <w:tcBorders>
              <w:top w:val="single" w:sz="4" w:space="0" w:color="D6D3D1"/>
              <w:left w:val="single" w:sz="4" w:space="0" w:color="D6D3D1"/>
              <w:bottom w:val="single" w:sz="4" w:space="0" w:color="D6D3D1"/>
              <w:right w:val="single" w:sz="4" w:space="0" w:color="D6D3D1"/>
            </w:tcBorders>
            <w:shd w:fill="F4F1EE" w:val="clear"/>
          </w:tcPr>
          <w:p>
            <w:pPr>
              <w:spacing w:after="40" w:before="40" w:line="240" w:lineRule="auto"/>
              <w:jc w:val="left"/>
            </w:pPr>
            <w:r/>
            <w:r>
              <w:rPr>
                <w:rFonts w:ascii="Montserrat" w:hAnsi="Montserrat" w:eastAsia="Montserrat" w:cs="Montserrat"/>
                <w:b w:val="0"/>
                <w:i w:val="0"/>
                <w:sz w:val="20"/>
              </w:rPr>
              <w:t>Interview-confidence outcome (100%) erodes</w:t>
            </w:r>
          </w:p>
        </w:tc>
        <w:tc>
          <w:tcPr>
            <w:tcW w:type="dxa" w:w="2889"/>
            <w:tcBorders>
              <w:top w:val="single" w:sz="4" w:space="0" w:color="D6D3D1"/>
              <w:left w:val="single" w:sz="4" w:space="0" w:color="D6D3D1"/>
              <w:bottom w:val="single" w:sz="4" w:space="0" w:color="D6D3D1"/>
              <w:right w:val="single" w:sz="4" w:space="0" w:color="D6D3D1"/>
            </w:tcBorders>
            <w:shd w:fill="F4F1EE" w:val="clear"/>
          </w:tcPr>
          <w:p>
            <w:pPr>
              <w:spacing w:after="40" w:before="40" w:line="240" w:lineRule="auto"/>
              <w:jc w:val="left"/>
            </w:pPr>
            <w:r/>
            <w:r>
              <w:rPr>
                <w:rFonts w:ascii="Montserrat" w:hAnsi="Montserrat" w:eastAsia="Montserrat" w:cs="Montserrat"/>
                <w:b w:val="0"/>
                <w:i w:val="0"/>
                <w:sz w:val="20"/>
              </w:rPr>
              <w:t>Recruit mentors before geo expansion; session SLAs</w:t>
            </w:r>
          </w:p>
        </w:tc>
      </w:tr>
      <w:tr>
        <w:tc>
          <w:tcPr>
            <w:tcW w:type="dxa" w:w="2889"/>
            <w:tcBorders>
              <w:top w:val="single" w:sz="4" w:space="0" w:color="D6D3D1"/>
              <w:left w:val="single" w:sz="4" w:space="0" w:color="D6D3D1"/>
              <w:bottom w:val="single" w:sz="4" w:space="0" w:color="D6D3D1"/>
              <w:right w:val="single" w:sz="4" w:space="0" w:color="D6D3D1"/>
            </w:tcBorders>
          </w:tcPr>
          <w:p>
            <w:pPr>
              <w:spacing w:after="40" w:before="40" w:line="240" w:lineRule="auto"/>
              <w:jc w:val="left"/>
            </w:pPr>
            <w:r/>
            <w:r>
              <w:rPr>
                <w:rFonts w:ascii="Montserrat" w:hAnsi="Montserrat" w:eastAsia="Montserrat" w:cs="Montserrat"/>
                <w:b w:val="0"/>
                <w:i w:val="0"/>
                <w:sz w:val="20"/>
              </w:rPr>
              <w:t>Opportunity staleness</w:t>
            </w:r>
          </w:p>
        </w:tc>
        <w:tc>
          <w:tcPr>
            <w:tcW w:type="dxa" w:w="2889"/>
            <w:tcBorders>
              <w:top w:val="single" w:sz="4" w:space="0" w:color="D6D3D1"/>
              <w:left w:val="single" w:sz="4" w:space="0" w:color="D6D3D1"/>
              <w:bottom w:val="single" w:sz="4" w:space="0" w:color="D6D3D1"/>
              <w:right w:val="single" w:sz="4" w:space="0" w:color="D6D3D1"/>
            </w:tcBorders>
          </w:tcPr>
          <w:p>
            <w:pPr>
              <w:spacing w:after="40" w:before="40" w:line="240" w:lineRule="auto"/>
              <w:jc w:val="left"/>
            </w:pPr>
            <w:r/>
            <w:r>
              <w:rPr>
                <w:rFonts w:ascii="Montserrat" w:hAnsi="Montserrat" w:eastAsia="Montserrat" w:cs="Montserrat"/>
                <w:b w:val="0"/>
                <w:i w:val="0"/>
                <w:sz w:val="20"/>
              </w:rPr>
              <w:t>153+ baseline decays</w:t>
            </w:r>
          </w:p>
        </w:tc>
        <w:tc>
          <w:tcPr>
            <w:tcW w:type="dxa" w:w="2889"/>
            <w:tcBorders>
              <w:top w:val="single" w:sz="4" w:space="0" w:color="D6D3D1"/>
              <w:left w:val="single" w:sz="4" w:space="0" w:color="D6D3D1"/>
              <w:bottom w:val="single" w:sz="4" w:space="0" w:color="D6D3D1"/>
              <w:right w:val="single" w:sz="4" w:space="0" w:color="D6D3D1"/>
            </w:tcBorders>
          </w:tcPr>
          <w:p>
            <w:pPr>
              <w:spacing w:after="40" w:before="40" w:line="240" w:lineRule="auto"/>
              <w:jc w:val="left"/>
            </w:pPr>
            <w:r/>
            <w:r>
              <w:rPr>
                <w:rFonts w:ascii="Montserrat" w:hAnsi="Montserrat" w:eastAsia="Montserrat" w:cs="Montserrat"/>
                <w:b w:val="0"/>
                <w:i w:val="0"/>
                <w:sz w:val="20"/>
              </w:rPr>
              <w:t>Weekly freshness kill list</w:t>
            </w:r>
          </w:p>
        </w:tc>
      </w:tr>
      <w:tr>
        <w:tc>
          <w:tcPr>
            <w:tcW w:type="dxa" w:w="2889"/>
            <w:tcBorders>
              <w:top w:val="single" w:sz="4" w:space="0" w:color="D6D3D1"/>
              <w:left w:val="single" w:sz="4" w:space="0" w:color="D6D3D1"/>
              <w:bottom w:val="single" w:sz="4" w:space="0" w:color="D6D3D1"/>
              <w:right w:val="single" w:sz="4" w:space="0" w:color="D6D3D1"/>
            </w:tcBorders>
            <w:shd w:fill="F4F1EE" w:val="clear"/>
          </w:tcPr>
          <w:p>
            <w:pPr>
              <w:spacing w:after="40" w:before="40" w:line="240" w:lineRule="auto"/>
              <w:jc w:val="left"/>
            </w:pPr>
            <w:r/>
            <w:r>
              <w:rPr>
                <w:rFonts w:ascii="Montserrat" w:hAnsi="Montserrat" w:eastAsia="Montserrat" w:cs="Montserrat"/>
                <w:b w:val="0"/>
                <w:i w:val="0"/>
                <w:sz w:val="20"/>
              </w:rPr>
              <w:t>Live-data delay</w:t>
            </w:r>
          </w:p>
        </w:tc>
        <w:tc>
          <w:tcPr>
            <w:tcW w:type="dxa" w:w="2889"/>
            <w:tcBorders>
              <w:top w:val="single" w:sz="4" w:space="0" w:color="D6D3D1"/>
              <w:left w:val="single" w:sz="4" w:space="0" w:color="D6D3D1"/>
              <w:bottom w:val="single" w:sz="4" w:space="0" w:color="D6D3D1"/>
              <w:right w:val="single" w:sz="4" w:space="0" w:color="D6D3D1"/>
            </w:tcBorders>
            <w:shd w:fill="F4F1EE" w:val="clear"/>
          </w:tcPr>
          <w:p>
            <w:pPr>
              <w:spacing w:after="40" w:before="40" w:line="240" w:lineRule="auto"/>
              <w:jc w:val="left"/>
            </w:pPr>
            <w:r/>
            <w:r>
              <w:rPr>
                <w:rFonts w:ascii="Montserrat" w:hAnsi="Montserrat" w:eastAsia="Montserrat" w:cs="Montserrat"/>
                <w:b w:val="0"/>
                <w:i w:val="0"/>
                <w:sz w:val="20"/>
              </w:rPr>
              <w:t>Demo JSON remains the system of record</w:t>
            </w:r>
          </w:p>
        </w:tc>
        <w:tc>
          <w:tcPr>
            <w:tcW w:type="dxa" w:w="2889"/>
            <w:tcBorders>
              <w:top w:val="single" w:sz="4" w:space="0" w:color="D6D3D1"/>
              <w:left w:val="single" w:sz="4" w:space="0" w:color="D6D3D1"/>
              <w:bottom w:val="single" w:sz="4" w:space="0" w:color="D6D3D1"/>
              <w:right w:val="single" w:sz="4" w:space="0" w:color="D6D3D1"/>
            </w:tcBorders>
            <w:shd w:fill="F4F1EE" w:val="clear"/>
          </w:tcPr>
          <w:p>
            <w:pPr>
              <w:spacing w:after="40" w:before="40" w:line="240" w:lineRule="auto"/>
              <w:jc w:val="left"/>
            </w:pPr>
            <w:r/>
            <w:r>
              <w:rPr>
                <w:rFonts w:ascii="Montserrat" w:hAnsi="Montserrat" w:eastAsia="Montserrat" w:cs="Montserrat"/>
                <w:b w:val="0"/>
                <w:i w:val="0"/>
                <w:sz w:val="20"/>
              </w:rPr>
              <w:t>One-quarter cutover target</w:t>
            </w:r>
          </w:p>
        </w:tc>
      </w:tr>
      <w:tr>
        <w:tc>
          <w:tcPr>
            <w:tcW w:type="dxa" w:w="2889"/>
            <w:tcBorders>
              <w:top w:val="single" w:sz="4" w:space="0" w:color="D6D3D1"/>
              <w:left w:val="single" w:sz="4" w:space="0" w:color="D6D3D1"/>
              <w:bottom w:val="single" w:sz="4" w:space="0" w:color="D6D3D1"/>
              <w:right w:val="single" w:sz="4" w:space="0" w:color="D6D3D1"/>
            </w:tcBorders>
          </w:tcPr>
          <w:p>
            <w:pPr>
              <w:spacing w:after="40" w:before="40" w:line="240" w:lineRule="auto"/>
              <w:jc w:val="left"/>
            </w:pPr>
            <w:r/>
            <w:r>
              <w:rPr>
                <w:rFonts w:ascii="Montserrat" w:hAnsi="Montserrat" w:eastAsia="Montserrat" w:cs="Montserrat"/>
                <w:b w:val="0"/>
                <w:i w:val="0"/>
                <w:sz w:val="20"/>
              </w:rPr>
              <w:t>Compliance gap</w:t>
            </w:r>
          </w:p>
        </w:tc>
        <w:tc>
          <w:tcPr>
            <w:tcW w:type="dxa" w:w="2889"/>
            <w:tcBorders>
              <w:top w:val="single" w:sz="4" w:space="0" w:color="D6D3D1"/>
              <w:left w:val="single" w:sz="4" w:space="0" w:color="D6D3D1"/>
              <w:bottom w:val="single" w:sz="4" w:space="0" w:color="D6D3D1"/>
              <w:right w:val="single" w:sz="4" w:space="0" w:color="D6D3D1"/>
            </w:tcBorders>
          </w:tcPr>
          <w:p>
            <w:pPr>
              <w:spacing w:after="40" w:before="40" w:line="240" w:lineRule="auto"/>
              <w:jc w:val="left"/>
            </w:pPr>
            <w:r/>
            <w:r>
              <w:rPr>
                <w:rFonts w:ascii="Montserrat" w:hAnsi="Montserrat" w:eastAsia="Montserrat" w:cs="Montserrat"/>
                <w:b w:val="0"/>
                <w:i w:val="0"/>
                <w:sz w:val="20"/>
              </w:rPr>
              <w:t>Multi-country scholar data, including Rwanda</w:t>
            </w:r>
          </w:p>
        </w:tc>
        <w:tc>
          <w:tcPr>
            <w:tcW w:type="dxa" w:w="2889"/>
            <w:tcBorders>
              <w:top w:val="single" w:sz="4" w:space="0" w:color="D6D3D1"/>
              <w:left w:val="single" w:sz="4" w:space="0" w:color="D6D3D1"/>
              <w:bottom w:val="single" w:sz="4" w:space="0" w:color="D6D3D1"/>
              <w:right w:val="single" w:sz="4" w:space="0" w:color="D6D3D1"/>
            </w:tcBorders>
          </w:tcPr>
          <w:p>
            <w:pPr>
              <w:spacing w:after="40" w:before="40" w:line="240" w:lineRule="auto"/>
              <w:jc w:val="left"/>
            </w:pPr>
            <w:r/>
            <w:r>
              <w:rPr>
                <w:rFonts w:ascii="Montserrat" w:hAnsi="Montserrat" w:eastAsia="Montserrat" w:cs="Montserrat"/>
                <w:b w:val="0"/>
                <w:i w:val="0"/>
                <w:sz w:val="20"/>
              </w:rPr>
              <w:t>Consent, minimisation, legal review before production</w:t>
            </w:r>
          </w:p>
        </w:tc>
      </w:tr>
      <w:tr>
        <w:tc>
          <w:tcPr>
            <w:tcW w:type="dxa" w:w="2889"/>
            <w:tcBorders>
              <w:top w:val="single" w:sz="4" w:space="0" w:color="D6D3D1"/>
              <w:left w:val="single" w:sz="4" w:space="0" w:color="D6D3D1"/>
              <w:bottom w:val="single" w:sz="4" w:space="0" w:color="D6D3D1"/>
              <w:right w:val="single" w:sz="4" w:space="0" w:color="D6D3D1"/>
            </w:tcBorders>
            <w:shd w:fill="F4F1EE" w:val="clear"/>
          </w:tcPr>
          <w:p>
            <w:pPr>
              <w:spacing w:after="40" w:before="40" w:line="240" w:lineRule="auto"/>
              <w:jc w:val="left"/>
            </w:pPr>
            <w:r/>
            <w:r>
              <w:rPr>
                <w:rFonts w:ascii="Montserrat" w:hAnsi="Montserrat" w:eastAsia="Montserrat" w:cs="Montserrat"/>
                <w:b w:val="0"/>
                <w:i w:val="0"/>
                <w:sz w:val="20"/>
              </w:rPr>
              <w:t>Scope creep</w:t>
            </w:r>
          </w:p>
        </w:tc>
        <w:tc>
          <w:tcPr>
            <w:tcW w:type="dxa" w:w="2889"/>
            <w:tcBorders>
              <w:top w:val="single" w:sz="4" w:space="0" w:color="D6D3D1"/>
              <w:left w:val="single" w:sz="4" w:space="0" w:color="D6D3D1"/>
              <w:bottom w:val="single" w:sz="4" w:space="0" w:color="D6D3D1"/>
              <w:right w:val="single" w:sz="4" w:space="0" w:color="D6D3D1"/>
            </w:tcBorders>
            <w:shd w:fill="F4F1EE" w:val="clear"/>
          </w:tcPr>
          <w:p>
            <w:pPr>
              <w:spacing w:after="40" w:before="40" w:line="240" w:lineRule="auto"/>
              <w:jc w:val="left"/>
            </w:pPr>
            <w:r/>
            <w:r>
              <w:rPr>
                <w:rFonts w:ascii="Montserrat" w:hAnsi="Montserrat" w:eastAsia="Montserrat" w:cs="Montserrat"/>
                <w:b w:val="0"/>
                <w:i w:val="0"/>
                <w:sz w:val="20"/>
              </w:rPr>
              <w:t>Becomes a generic list site</w:t>
            </w:r>
          </w:p>
        </w:tc>
        <w:tc>
          <w:tcPr>
            <w:tcW w:type="dxa" w:w="2889"/>
            <w:tcBorders>
              <w:top w:val="single" w:sz="4" w:space="0" w:color="D6D3D1"/>
              <w:left w:val="single" w:sz="4" w:space="0" w:color="D6D3D1"/>
              <w:bottom w:val="single" w:sz="4" w:space="0" w:color="D6D3D1"/>
              <w:right w:val="single" w:sz="4" w:space="0" w:color="D6D3D1"/>
            </w:tcBorders>
            <w:shd w:fill="F4F1EE" w:val="clear"/>
          </w:tcPr>
          <w:p>
            <w:pPr>
              <w:spacing w:after="40" w:before="40" w:line="240" w:lineRule="auto"/>
              <w:jc w:val="left"/>
            </w:pPr>
            <w:r/>
            <w:r>
              <w:rPr>
                <w:rFonts w:ascii="Montserrat" w:hAnsi="Montserrat" w:eastAsia="Montserrat" w:cs="Montserrat"/>
                <w:b w:val="0"/>
                <w:i w:val="0"/>
                <w:sz w:val="20"/>
              </w:rPr>
              <w:t>P0 freeze owned by ED/MD</w:t>
            </w:r>
          </w:p>
        </w:tc>
      </w:tr>
      <w:tr>
        <w:tc>
          <w:tcPr>
            <w:tcW w:type="dxa" w:w="2889"/>
            <w:tcBorders>
              <w:top w:val="single" w:sz="4" w:space="0" w:color="D6D3D1"/>
              <w:left w:val="single" w:sz="4" w:space="0" w:color="D6D3D1"/>
              <w:bottom w:val="single" w:sz="4" w:space="0" w:color="D6D3D1"/>
              <w:right w:val="single" w:sz="4" w:space="0" w:color="D6D3D1"/>
            </w:tcBorders>
          </w:tcPr>
          <w:p>
            <w:pPr>
              <w:spacing w:after="40" w:before="40" w:line="240" w:lineRule="auto"/>
              <w:jc w:val="left"/>
            </w:pPr>
            <w:r/>
            <w:r>
              <w:rPr>
                <w:rFonts w:ascii="Montserrat" w:hAnsi="Montserrat" w:eastAsia="Montserrat" w:cs="Montserrat"/>
                <w:b w:val="0"/>
                <w:i w:val="0"/>
                <w:sz w:val="20"/>
              </w:rPr>
              <w:t>Launch-event overclaim</w:t>
            </w:r>
          </w:p>
        </w:tc>
        <w:tc>
          <w:tcPr>
            <w:tcW w:type="dxa" w:w="2889"/>
            <w:tcBorders>
              <w:top w:val="single" w:sz="4" w:space="0" w:color="D6D3D1"/>
              <w:left w:val="single" w:sz="4" w:space="0" w:color="D6D3D1"/>
              <w:bottom w:val="single" w:sz="4" w:space="0" w:color="D6D3D1"/>
              <w:right w:val="single" w:sz="4" w:space="0" w:color="D6D3D1"/>
            </w:tcBorders>
          </w:tcPr>
          <w:p>
            <w:pPr>
              <w:spacing w:after="40" w:before="40" w:line="240" w:lineRule="auto"/>
              <w:jc w:val="left"/>
            </w:pPr>
            <w:r/>
            <w:r>
              <w:rPr>
                <w:rFonts w:ascii="Montserrat" w:hAnsi="Montserrat" w:eastAsia="Montserrat" w:cs="Montserrat"/>
                <w:b w:val="0"/>
                <w:i w:val="0"/>
                <w:sz w:val="20"/>
              </w:rPr>
              <w:t>Bootcamp treated as completed field proof</w:t>
            </w:r>
          </w:p>
        </w:tc>
        <w:tc>
          <w:tcPr>
            <w:tcW w:type="dxa" w:w="2889"/>
            <w:tcBorders>
              <w:top w:val="single" w:sz="4" w:space="0" w:color="D6D3D1"/>
              <w:left w:val="single" w:sz="4" w:space="0" w:color="D6D3D1"/>
              <w:bottom w:val="single" w:sz="4" w:space="0" w:color="D6D3D1"/>
              <w:right w:val="single" w:sz="4" w:space="0" w:color="D6D3D1"/>
            </w:tcBorders>
          </w:tcPr>
          <w:p>
            <w:pPr>
              <w:spacing w:after="40" w:before="40" w:line="240" w:lineRule="auto"/>
              <w:jc w:val="left"/>
            </w:pPr>
            <w:r/>
            <w:r>
              <w:rPr>
                <w:rFonts w:ascii="Montserrat" w:hAnsi="Montserrat" w:eastAsia="Montserrat" w:cs="Montserrat"/>
                <w:b w:val="0"/>
                <w:i w:val="0"/>
                <w:sz w:val="20"/>
              </w:rPr>
              <w:t>Describe bootcamp as intended launch path only</w:t>
            </w:r>
          </w:p>
        </w:tc>
      </w:tr>
    </w:tbl>
    <w:p/>
    <w:p>
      <w:pPr>
        <w:spacing w:after="120" w:before="240" w:line="276" w:lineRule="auto"/>
        <w:jc w:val="left"/>
      </w:pPr>
      <w:r>
        <w:rPr>
          <w:rFonts w:ascii="Montserrat" w:hAnsi="Montserrat" w:eastAsia="Montserrat" w:cs="Montserrat"/>
          <w:b/>
          <w:i w:val="0"/>
          <w:color w:val="0D1B2A"/>
          <w:sz w:val="22"/>
        </w:rPr>
        <w:t>2.7 Strategic Insights and Implications for Solution Design</w:t>
      </w:r>
    </w:p>
    <w:p>
      <w:pPr>
        <w:pStyle w:val="ListNumber"/>
        <w:spacing w:after="80" w:before="0" w:line="360" w:lineRule="auto"/>
        <w:jc w:val="both"/>
      </w:pPr>
      <w:r>
        <w:rPr>
          <w:rFonts w:ascii="Montserrat" w:hAnsi="Montserrat" w:eastAsia="Montserrat" w:cs="Montserrat"/>
          <w:b w:val="0"/>
          <w:i w:val="0"/>
          <w:sz w:val="22"/>
        </w:rPr>
        <w:t>Rwanda is the right beachhead because it combines SimpleJoint’s legal home, ESL’s operating reality, Vision 2050 alignment, and the business plan’s Gasabo evidence that youth want guidance, matching, and mentorship in a hybrid format (Kporon, n.d.; NISR, 2025; Republic of Rwanda, 2020).</w:t>
      </w:r>
    </w:p>
    <w:p>
      <w:pPr>
        <w:pStyle w:val="ListNumber"/>
        <w:spacing w:after="80" w:before="0" w:line="360" w:lineRule="auto"/>
        <w:jc w:val="both"/>
      </w:pPr>
      <w:r>
        <w:rPr>
          <w:rFonts w:ascii="Montserrat" w:hAnsi="Montserrat" w:eastAsia="Montserrat" w:cs="Montserrat"/>
          <w:b w:val="0"/>
          <w:i w:val="0"/>
          <w:sz w:val="22"/>
        </w:rPr>
        <w:t>ESL is the programme layer; JointHub is the operating system that runs ESL. Designing JointHub as a standalone marketplace would throw away the only rare asset SimpleJoint has.</w:t>
      </w:r>
    </w:p>
    <w:p>
      <w:pPr>
        <w:pStyle w:val="ListNumber"/>
        <w:spacing w:after="80" w:before="0" w:line="360" w:lineRule="auto"/>
        <w:jc w:val="both"/>
      </w:pPr>
      <w:r>
        <w:rPr>
          <w:rFonts w:ascii="Montserrat" w:hAnsi="Montserrat" w:eastAsia="Montserrat" w:cs="Montserrat"/>
          <w:b w:val="0"/>
          <w:i w:val="0"/>
          <w:sz w:val="22"/>
        </w:rPr>
        <w:t>The market gap is programme operations, not more listings.</w:t>
      </w:r>
    </w:p>
    <w:p>
      <w:pPr>
        <w:pStyle w:val="ListNumber"/>
        <w:spacing w:after="80" w:before="0" w:line="360" w:lineRule="auto"/>
        <w:jc w:val="both"/>
      </w:pPr>
      <w:r>
        <w:rPr>
          <w:rFonts w:ascii="Montserrat" w:hAnsi="Montserrat" w:eastAsia="Montserrat" w:cs="Montserrat"/>
          <w:b w:val="0"/>
          <w:i w:val="0"/>
          <w:sz w:val="22"/>
        </w:rPr>
        <w:t>Internal capability supports an MVP, not a pan-African launch.</w:t>
      </w:r>
    </w:p>
    <w:p>
      <w:pPr>
        <w:pStyle w:val="ListNumber"/>
        <w:spacing w:after="80" w:before="0" w:line="360" w:lineRule="auto"/>
        <w:jc w:val="both"/>
      </w:pPr>
      <w:r>
        <w:rPr>
          <w:rFonts w:ascii="Montserrat" w:hAnsi="Montserrat" w:eastAsia="Montserrat" w:cs="Montserrat"/>
          <w:b w:val="0"/>
          <w:i w:val="0"/>
          <w:sz w:val="22"/>
        </w:rPr>
        <w:t>Ethics is strategy: AI handles information; humans handle formation.</w:t>
      </w:r>
    </w:p>
    <w:p>
      <w:pPr>
        <w:spacing w:after="160" w:before="0" w:line="360" w:lineRule="auto"/>
        <w:jc w:val="both"/>
      </w:pPr>
      <w:r>
        <w:rPr>
          <w:rFonts w:ascii="Montserrat" w:hAnsi="Montserrat" w:eastAsia="Montserrat" w:cs="Montserrat"/>
          <w:b w:val="0"/>
          <w:i w:val="0"/>
          <w:sz w:val="22"/>
        </w:rPr>
        <w:t>Chapter Three therefore designs a role-aware Mentor Hub as the OS for ESL in Rwanda, with human override, an iterative staging MVP, and a bootcamp as the intended launch mechanism.</w:t>
      </w:r>
    </w:p>
    <w:p>
      <w:r>
        <w:br w:type="page"/>
      </w:r>
    </w:p>
    <w:p>
      <w:pPr>
        <w:spacing w:after="240" w:before="0" w:line="276" w:lineRule="auto"/>
        <w:jc w:val="left"/>
      </w:pPr>
      <w:r>
        <w:rPr>
          <w:rFonts w:ascii="Montserrat" w:hAnsi="Montserrat" w:eastAsia="Montserrat" w:cs="Montserrat"/>
          <w:b/>
          <w:i w:val="0"/>
          <w:color w:val="0D1B2A"/>
          <w:sz w:val="24"/>
        </w:rPr>
        <w:t>CHAPTER THREE: SOLUTION DESIGN AND APPROACH</w:t>
      </w:r>
    </w:p>
    <w:p>
      <w:pPr>
        <w:spacing w:after="120" w:before="240" w:line="276" w:lineRule="auto"/>
        <w:jc w:val="left"/>
      </w:pPr>
      <w:r>
        <w:rPr>
          <w:rFonts w:ascii="Montserrat" w:hAnsi="Montserrat" w:eastAsia="Montserrat" w:cs="Montserrat"/>
          <w:b/>
          <w:i w:val="0"/>
          <w:color w:val="0D1B2A"/>
          <w:sz w:val="22"/>
        </w:rPr>
        <w:t>3.1 Introduction to the Solution</w:t>
      </w:r>
    </w:p>
    <w:p>
      <w:pPr>
        <w:spacing w:after="160" w:before="0" w:line="360" w:lineRule="auto"/>
        <w:jc w:val="both"/>
      </w:pPr>
      <w:r>
        <w:rPr>
          <w:rFonts w:ascii="Montserrat" w:hAnsi="Montserrat" w:eastAsia="Montserrat" w:cs="Montserrat"/>
          <w:b w:val="0"/>
          <w:i w:val="0"/>
          <w:sz w:val="22"/>
        </w:rPr>
        <w:t>Chapter Two concluded that SimpleJoint’s rare asset is ESL, that Rwanda is the justified beachhead, and that the competitive gap is a programme operating system rather than another list. This chapter specifies the solution: JointHub Africa’s Mentor Hub, an AI-powered Mentorship Dashboard designed as the digital OS that runs ESL, implemented as a staging MVP, launched into the cohort via bootcamp, and governed by a hard ethics rule. AI handles information. Humans handle formation.</w:t>
      </w:r>
    </w:p>
    <w:p>
      <w:pPr>
        <w:spacing w:after="160" w:before="0" w:line="360" w:lineRule="auto"/>
        <w:jc w:val="both"/>
      </w:pPr>
      <w:r>
        <w:rPr>
          <w:rFonts w:ascii="Montserrat" w:hAnsi="Montserrat" w:eastAsia="Montserrat" w:cs="Montserrat"/>
          <w:b w:val="0"/>
          <w:i w:val="0"/>
          <w:sz w:val="22"/>
        </w:rPr>
        <w:t>The solution is a working product, not a concept deck. It is demonstrated at https://staging.app.simplejoint-trust-4b4a02.cofounder.company/. It does not replace ESL workshops, community, or servant-leadership curriculum. It is the operating system that gives those practices a weekly digital rhythm.</w:t>
      </w:r>
    </w:p>
    <w:p>
      <w:pPr>
        <w:spacing w:after="120" w:before="240" w:line="276" w:lineRule="auto"/>
        <w:jc w:val="left"/>
      </w:pPr>
      <w:r>
        <w:rPr>
          <w:rFonts w:ascii="Montserrat" w:hAnsi="Montserrat" w:eastAsia="Montserrat" w:cs="Montserrat"/>
          <w:b/>
          <w:i w:val="0"/>
          <w:color w:val="0D1B2A"/>
          <w:sz w:val="22"/>
        </w:rPr>
        <w:t>3.2 Overview of the Proposed Solution</w:t>
      </w:r>
    </w:p>
    <w:p>
      <w:pPr>
        <w:spacing w:after="160" w:before="0" w:line="360" w:lineRule="auto"/>
        <w:jc w:val="both"/>
      </w:pPr>
      <w:r>
        <w:rPr>
          <w:rFonts w:ascii="Montserrat" w:hAnsi="Montserrat" w:eastAsia="Montserrat" w:cs="Montserrat"/>
          <w:b w:val="0"/>
          <w:i w:val="0"/>
          <w:sz w:val="22"/>
        </w:rPr>
        <w:t>JointHub Mentor Hub is a role-aware web application and the OS for ESL. ESL scholars see ranked opportunities with explanations, a mentor path, and application context. Mentors see assigned mentees. Administrators see a dropout-risk queue and analytics. The Hub’s AI-assisted product architecture sits behind those views:</w:t>
      </w:r>
    </w:p>
    <w:p>
      <w:pPr>
        <w:pStyle w:val="ListNumber"/>
        <w:spacing w:after="80" w:before="0" w:line="360" w:lineRule="auto"/>
        <w:jc w:val="both"/>
      </w:pPr>
      <w:r>
        <w:rPr>
          <w:rFonts w:ascii="Montserrat" w:hAnsi="Montserrat" w:eastAsia="Montserrat" w:cs="Montserrat"/>
          <w:b w:val="0"/>
          <w:i w:val="0"/>
          <w:sz w:val="22"/>
        </w:rPr>
        <w:t>Opportunity recommendation: cosine similarity over scholar profiles and the 153+ curated opportunity set, returning a Top-5 list plus “why recommended.”</w:t>
      </w:r>
    </w:p>
    <w:p>
      <w:pPr>
        <w:pStyle w:val="ListNumber"/>
        <w:spacing w:after="80" w:before="0" w:line="360" w:lineRule="auto"/>
        <w:jc w:val="both"/>
      </w:pPr>
      <w:r>
        <w:rPr>
          <w:rFonts w:ascii="Montserrat" w:hAnsi="Montserrat" w:eastAsia="Montserrat" w:cs="Montserrat"/>
          <w:b w:val="0"/>
          <w:i w:val="0"/>
          <w:sz w:val="22"/>
        </w:rPr>
        <w:t>Mentor assignment: Hungarian algorithm matching of scholars to mentors under capacity constraints, with alternative suggestions.</w:t>
      </w:r>
    </w:p>
    <w:p>
      <w:pPr>
        <w:pStyle w:val="ListNumber"/>
        <w:spacing w:after="80" w:before="0" w:line="360" w:lineRule="auto"/>
        <w:jc w:val="both"/>
      </w:pPr>
      <w:r>
        <w:rPr>
          <w:rFonts w:ascii="Montserrat" w:hAnsi="Montserrat" w:eastAsia="Montserrat" w:cs="Montserrat"/>
          <w:b w:val="0"/>
          <w:i w:val="0"/>
          <w:sz w:val="22"/>
        </w:rPr>
        <w:t>Dropout-risk scoring: logistic regression and random forest scores feeding an admin queue. No automated punitive action.</w:t>
      </w:r>
    </w:p>
    <w:p>
      <w:pPr>
        <w:pStyle w:val="ListNumber"/>
        <w:spacing w:after="80" w:before="0" w:line="360" w:lineRule="auto"/>
        <w:jc w:val="both"/>
      </w:pPr>
      <w:r>
        <w:rPr>
          <w:rFonts w:ascii="Montserrat" w:hAnsi="Montserrat" w:eastAsia="Montserrat" w:cs="Montserrat"/>
          <w:b w:val="0"/>
          <w:i w:val="0"/>
          <w:sz w:val="22"/>
        </w:rPr>
        <w:t>NLP matching: TF-IDF plus lightweight stubs for text explanation and recall against opportunity descriptions.</w:t>
      </w:r>
    </w:p>
    <w:p>
      <w:pPr>
        <w:spacing w:after="160" w:before="0" w:line="360" w:lineRule="auto"/>
        <w:jc w:val="both"/>
      </w:pPr>
      <w:r>
        <w:rPr>
          <w:rFonts w:ascii="Montserrat" w:hAnsi="Montserrat" w:eastAsia="Montserrat" w:cs="Montserrat"/>
          <w:b w:val="0"/>
          <w:i w:val="0"/>
          <w:sz w:val="22"/>
        </w:rPr>
        <w:t>These components are how the OS works. They are not a founder-owned impact statistic.</w:t>
      </w:r>
    </w:p>
    <w:p>
      <w:pPr>
        <w:spacing w:after="160" w:before="0" w:line="360" w:lineRule="auto"/>
        <w:jc w:val="both"/>
      </w:pPr>
      <w:r>
        <w:rPr>
          <w:rFonts w:ascii="Montserrat" w:hAnsi="Montserrat" w:eastAsia="Montserrat" w:cs="Montserrat"/>
          <w:b w:val="0"/>
          <w:i w:val="0"/>
          <w:sz w:val="22"/>
        </w:rPr>
        <w:t>A FastAPI companion (</w:t>
      </w:r>
      <w:r>
        <w:rPr>
          <w:rFonts w:ascii="Montserrat" w:hAnsi="Montserrat" w:eastAsia="Montserrat" w:cs="Montserrat"/>
          <w:b w:val="0"/>
          <w:i w:val="0"/>
          <w:sz w:val="18"/>
        </w:rPr>
        <w:t>ml-backend/</w:t>
      </w:r>
      <w:r>
        <w:rPr>
          <w:rFonts w:ascii="Montserrat" w:hAnsi="Montserrat" w:eastAsia="Montserrat" w:cs="Montserrat"/>
          <w:b w:val="0"/>
          <w:i w:val="0"/>
          <w:sz w:val="22"/>
        </w:rPr>
        <w:t xml:space="preserve">) hosts the sklearn / SciPy / NumPy scoring paths. The Next.js application exposes </w:t>
      </w:r>
      <w:r>
        <w:rPr>
          <w:rFonts w:ascii="Montserrat" w:hAnsi="Montserrat" w:eastAsia="Montserrat" w:cs="Montserrat"/>
          <w:b w:val="0"/>
          <w:i w:val="0"/>
          <w:sz w:val="18"/>
        </w:rPr>
        <w:t>/api/jointhub/*</w:t>
      </w:r>
      <w:r>
        <w:rPr>
          <w:rFonts w:ascii="Montserrat" w:hAnsi="Montserrat" w:eastAsia="Montserrat" w:cs="Montserrat"/>
          <w:b w:val="0"/>
          <w:i w:val="0"/>
          <w:sz w:val="22"/>
        </w:rPr>
        <w:t xml:space="preserve"> routes and a demo email gate for Capstone roles. A separate </w:t>
      </w:r>
      <w:r>
        <w:rPr>
          <w:rFonts w:ascii="Montserrat" w:hAnsi="Montserrat" w:eastAsia="Montserrat" w:cs="Montserrat"/>
          <w:b w:val="0"/>
          <w:i w:val="0"/>
          <w:sz w:val="18"/>
        </w:rPr>
        <w:t>/login</w:t>
      </w:r>
      <w:r>
        <w:rPr>
          <w:rFonts w:ascii="Montserrat" w:hAnsi="Montserrat" w:eastAsia="Montserrat" w:cs="Montserrat"/>
          <w:b w:val="0"/>
          <w:i w:val="0"/>
          <w:sz w:val="22"/>
        </w:rPr>
        <w:t xml:space="preserve"> path is a Supabase email/password scaffold for future production accounts and is not the Capstone demonstration door (SimpleJoint Trust, 2026e).</w:t>
      </w:r>
    </w:p>
    <w:p>
      <w:pPr>
        <w:spacing w:after="160" w:before="0" w:line="360" w:lineRule="auto"/>
        <w:jc w:val="both"/>
      </w:pPr>
      <w:r>
        <w:rPr>
          <w:rFonts w:ascii="Montserrat" w:hAnsi="Montserrat" w:eastAsia="Montserrat" w:cs="Montserrat"/>
          <w:b w:val="0"/>
          <w:i w:val="0"/>
          <w:sz w:val="22"/>
        </w:rPr>
        <w:t>User journeys on staging. Scholar (</w:t>
      </w:r>
      <w:r>
        <w:rPr>
          <w:rFonts w:ascii="Montserrat" w:hAnsi="Montserrat" w:eastAsia="Montserrat" w:cs="Montserrat"/>
          <w:b w:val="0"/>
          <w:i w:val="0"/>
          <w:sz w:val="18"/>
        </w:rPr>
        <w:t>leader1@jointhub.demo</w:t>
      </w:r>
      <w:r>
        <w:rPr>
          <w:rFonts w:ascii="Montserrat" w:hAnsi="Montserrat" w:eastAsia="Montserrat" w:cs="Montserrat"/>
          <w:b w:val="0"/>
          <w:i w:val="0"/>
          <w:sz w:val="22"/>
        </w:rPr>
        <w:t>) opens Opportunities, reads a Top-5 list rather than a dump of the 153+ catalogue, opens Why recommended, then opens Mentor Hub. Mentor (</w:t>
      </w:r>
      <w:r>
        <w:rPr>
          <w:rFonts w:ascii="Montserrat" w:hAnsi="Montserrat" w:eastAsia="Montserrat" w:cs="Montserrat"/>
          <w:b w:val="0"/>
          <w:i w:val="0"/>
          <w:sz w:val="18"/>
        </w:rPr>
        <w:t>mentor1@jointhub.demo</w:t>
      </w:r>
      <w:r>
        <w:rPr>
          <w:rFonts w:ascii="Montserrat" w:hAnsi="Montserrat" w:eastAsia="Montserrat" w:cs="Montserrat"/>
          <w:b w:val="0"/>
          <w:i w:val="0"/>
          <w:sz w:val="22"/>
        </w:rPr>
        <w:t>) sees assigned mentees, not the full admin risk census. Admin (</w:t>
      </w:r>
      <w:r>
        <w:rPr>
          <w:rFonts w:ascii="Montserrat" w:hAnsi="Montserrat" w:eastAsia="Montserrat" w:cs="Montserrat"/>
          <w:b w:val="0"/>
          <w:i w:val="0"/>
          <w:sz w:val="18"/>
        </w:rPr>
        <w:t>admin@jointhub.demo</w:t>
      </w:r>
      <w:r>
        <w:rPr>
          <w:rFonts w:ascii="Montserrat" w:hAnsi="Montserrat" w:eastAsia="Montserrat" w:cs="Montserrat"/>
          <w:b w:val="0"/>
          <w:i w:val="0"/>
          <w:sz w:val="22"/>
        </w:rPr>
        <w:t>) reviews the dropout-risk queue and is expected to override or reach out. If a feature does not serve one of those journeys, it is out of P0.</w:t>
      </w:r>
    </w:p>
    <w:p>
      <w:pPr>
        <w:spacing w:after="160" w:before="0" w:line="360" w:lineRule="auto"/>
        <w:jc w:val="both"/>
      </w:pPr>
      <w:r>
        <w:rPr>
          <w:rFonts w:ascii="Montserrat" w:hAnsi="Montserrat" w:eastAsia="Montserrat" w:cs="Montserrat"/>
          <w:b w:val="0"/>
          <w:i w:val="0"/>
          <w:sz w:val="22"/>
        </w:rPr>
        <w:t>Mission-model snapshot. Beneficiaries: ESL scholars in Rwanda (primary); mentors; programme admins. Value: personalised, explained opportunities, mentor assignment, and early risk outreach inside a named programme OS. Channels: staging web app; ESL in-person cohort; bootcamp as intended launch vehicle. Cost: volunteer labour, cloud, curation time, future mentor stipends. Revenue logic: grants, institutional partner seats, and later hybrid earned income on the non-scholar core. Mission lock: the scholar core stays free.</w:t>
      </w:r>
    </w:p>
    <w:p>
      <w:pPr>
        <w:spacing w:after="120" w:before="240" w:line="276" w:lineRule="auto"/>
        <w:jc w:val="left"/>
      </w:pPr>
      <w:r>
        <w:rPr>
          <w:rFonts w:ascii="Montserrat" w:hAnsi="Montserrat" w:eastAsia="Montserrat" w:cs="Montserrat"/>
          <w:b/>
          <w:i w:val="0"/>
          <w:color w:val="0D1B2A"/>
          <w:sz w:val="22"/>
        </w:rPr>
        <w:t>3.3 Design Rationale and Strategic Alignment</w:t>
      </w:r>
    </w:p>
    <w:p>
      <w:pPr>
        <w:spacing w:after="160" w:before="0" w:line="360" w:lineRule="auto"/>
        <w:jc w:val="both"/>
      </w:pPr>
      <w:r>
        <w:rPr>
          <w:rFonts w:ascii="Montserrat" w:hAnsi="Montserrat" w:eastAsia="Montserrat" w:cs="Montserrat"/>
          <w:b w:val="0"/>
          <w:i w:val="0"/>
          <w:sz w:val="22"/>
        </w:rPr>
        <w:t>The design follows Chapter Two. Rwanda is the beachhead; ESL is the rare asset; the gap is operations; ethics is strategy. Ranking without explanation would recreate list-site opacity. Matching without capacity constraints would overload volunteer mentors. Risk scores without human override would violate servant-leadership formation. A bootcamp without a working OS would be an event, not a launch.</w:t>
      </w:r>
    </w:p>
    <w:p>
      <w:pPr>
        <w:spacing w:after="160" w:before="0" w:line="360" w:lineRule="auto"/>
        <w:jc w:val="both"/>
      </w:pPr>
      <w:r>
        <w:rPr>
          <w:rFonts w:ascii="Montserrat" w:hAnsi="Montserrat" w:eastAsia="Montserrat" w:cs="Montserrat"/>
          <w:b w:val="0"/>
          <w:i w:val="0"/>
          <w:sz w:val="22"/>
        </w:rPr>
        <w:t>Alignment with SimpleJoint’s theory of change is direct: inputs (curated opportunities, mentors, staging product) to activities (ranking, matching, outreach, cohort formation) to outputs (applications supported, sessions logged, flags reviewed) to outcomes already owned by ESL (scholarships/grants, interview confidence, leadership readiness). The Hub does not invent those outcomes. It instruments the programme that produces them.</w:t>
      </w:r>
    </w:p>
    <w:p>
      <w:pPr>
        <w:spacing w:after="120" w:before="240" w:line="276" w:lineRule="auto"/>
        <w:jc w:val="left"/>
      </w:pPr>
      <w:r>
        <w:rPr>
          <w:rFonts w:ascii="Montserrat" w:hAnsi="Montserrat" w:eastAsia="Montserrat" w:cs="Montserrat"/>
          <w:b/>
          <w:i w:val="0"/>
          <w:color w:val="0D1B2A"/>
          <w:sz w:val="22"/>
        </w:rPr>
        <w:t>3.4 Stakeholder-Centred Design and Innovation Type</w:t>
      </w:r>
    </w:p>
    <w:p>
      <w:pPr>
        <w:spacing w:after="160" w:before="0" w:line="360" w:lineRule="auto"/>
        <w:jc w:val="both"/>
      </w:pPr>
      <w:r>
        <w:rPr>
          <w:rFonts w:ascii="Montserrat" w:hAnsi="Montserrat" w:eastAsia="Montserrat" w:cs="Montserrat"/>
          <w:b w:val="0"/>
          <w:i w:val="0"/>
          <w:sz w:val="22"/>
        </w:rPr>
        <w:t>Innovation type is process and product innovation inside a nonprofit programme, not a new category of AI. Scholars need ranked, explained opportunities and a named mentor. Mentors need a fair load. Admins need a queue they can override. Examiners need a clickable staging path. Funders need the authorised impact panel, not unverified AUC.</w:t>
      </w:r>
    </w:p>
    <w:p>
      <w:pPr>
        <w:spacing w:after="160" w:before="0" w:line="360" w:lineRule="auto"/>
        <w:jc w:val="both"/>
      </w:pPr>
      <w:r>
        <w:rPr>
          <w:rFonts w:ascii="Montserrat" w:hAnsi="Montserrat" w:eastAsia="Montserrat" w:cs="Montserrat"/>
          <w:b w:val="0"/>
          <w:i w:val="0"/>
          <w:sz w:val="22"/>
        </w:rPr>
        <w:t>The audience model is explicit: the Mentor Hub is the operating surface for ESL; scholars are primary; mentors and admins support the same programme; judges and funders are not daily users (SimpleJoint Trust, 2026e). Dignity is a design constraint: no public shaming via risk flags; no paywall on the scholar core; no automated exclusion.</w:t>
      </w:r>
    </w:p>
    <w:p>
      <w:pPr>
        <w:spacing w:after="120" w:before="240" w:line="276" w:lineRule="auto"/>
        <w:jc w:val="left"/>
      </w:pPr>
      <w:r>
        <w:rPr>
          <w:rFonts w:ascii="Montserrat" w:hAnsi="Montserrat" w:eastAsia="Montserrat" w:cs="Montserrat"/>
          <w:b/>
          <w:i w:val="0"/>
          <w:color w:val="0D1B2A"/>
          <w:sz w:val="22"/>
        </w:rPr>
        <w:t>3.5 Solution Architecture or Model</w:t>
      </w:r>
    </w:p>
    <w:p>
      <w:pPr>
        <w:spacing w:after="160" w:before="0" w:line="360" w:lineRule="auto"/>
        <w:jc w:val="both"/>
      </w:pPr>
      <w:r>
        <w:rPr>
          <w:rFonts w:ascii="Montserrat" w:hAnsi="Montserrat" w:eastAsia="Montserrat" w:cs="Montserrat"/>
          <w:b w:val="0"/>
          <w:i w:val="0"/>
          <w:sz w:val="22"/>
        </w:rPr>
        <w:t xml:space="preserve">Layers. Interface: role-aware Next.js dashboard (scholar, mentor, admin). Application: </w:t>
      </w:r>
      <w:r>
        <w:rPr>
          <w:rFonts w:ascii="Montserrat" w:hAnsi="Montserrat" w:eastAsia="Montserrat" w:cs="Montserrat"/>
          <w:b w:val="0"/>
          <w:i w:val="0"/>
          <w:sz w:val="18"/>
        </w:rPr>
        <w:t>/api/jointhub/*</w:t>
      </w:r>
      <w:r>
        <w:rPr>
          <w:rFonts w:ascii="Montserrat" w:hAnsi="Montserrat" w:eastAsia="Montserrat" w:cs="Montserrat"/>
          <w:b w:val="0"/>
          <w:i w:val="0"/>
          <w:sz w:val="22"/>
        </w:rPr>
        <w:t xml:space="preserve"> plus demo email gate at </w:t>
      </w:r>
      <w:r>
        <w:rPr>
          <w:rFonts w:ascii="Montserrat" w:hAnsi="Montserrat" w:eastAsia="Montserrat" w:cs="Montserrat"/>
          <w:b w:val="0"/>
          <w:i w:val="0"/>
          <w:sz w:val="18"/>
        </w:rPr>
        <w:t>/dashboard/login</w:t>
      </w:r>
      <w:r>
        <w:rPr>
          <w:rFonts w:ascii="Montserrat" w:hAnsi="Montserrat" w:eastAsia="Montserrat" w:cs="Montserrat"/>
          <w:b w:val="0"/>
          <w:i w:val="0"/>
          <w:sz w:val="22"/>
        </w:rPr>
        <w:t>. Scoring: FastAPI companion for ranking, matching, risk, and NLP explanation. Data for Capstone: six JSON schemas (demo cohort, including synthetic risk labels). Future data: ESL/Supabase records after the ED/MD gate.</w:t>
      </w:r>
    </w:p>
    <w:p>
      <w:pPr>
        <w:spacing w:after="160" w:before="0" w:line="360" w:lineRule="auto"/>
        <w:jc w:val="both"/>
      </w:pPr>
      <w:r>
        <w:rPr>
          <w:rFonts w:ascii="Montserrat" w:hAnsi="Montserrat" w:eastAsia="Montserrat" w:cs="Montserrat"/>
          <w:b w:val="0"/>
          <w:i w:val="0"/>
          <w:sz w:val="22"/>
        </w:rPr>
        <w:t>Control loop. Scholar actions generate application and engagement signals. Matching assigns mentors under capacity. Risk scores enter an admin queue. Humans decide outreach. MEARL later reads leading indicators against the organisational impact panel. AI never closes the loop alone (SimpleJoint Trust, 2026f).</w:t>
      </w:r>
    </w:p>
    <w:p>
      <w:pPr>
        <w:spacing w:after="160" w:before="0" w:line="360" w:lineRule="auto"/>
        <w:jc w:val="both"/>
      </w:pPr>
      <w:r>
        <w:rPr>
          <w:rFonts w:ascii="Montserrat" w:hAnsi="Montserrat" w:eastAsia="Montserrat" w:cs="Montserrat"/>
          <w:b w:val="0"/>
          <w:i w:val="0"/>
          <w:sz w:val="22"/>
        </w:rPr>
        <w:t>Why Rwanda remains in the architecture. Opportunity verification, mentor onboarding, and risk outreach require people who can meet scholars in Kigali and Gasabo. The business plan’s hybrid preference (61.9%) and Kigali hub action step are constraints on where the admin queue is staffed (Kporon, n.d.). A pan-African UI with an empty Rwanda ops calendar would be a website, not an OS.</w:t>
      </w:r>
    </w:p>
    <w:p>
      <w:pPr>
        <w:spacing w:after="120" w:before="240" w:line="276" w:lineRule="auto"/>
        <w:jc w:val="left"/>
      </w:pPr>
      <w:r>
        <w:rPr>
          <w:rFonts w:ascii="Montserrat" w:hAnsi="Montserrat" w:eastAsia="Montserrat" w:cs="Montserrat"/>
          <w:b/>
          <w:i w:val="0"/>
          <w:color w:val="0D1B2A"/>
          <w:sz w:val="22"/>
        </w:rPr>
        <w:t>3.6 Iterative Development Approach (MVP / POC / Pilot)</w:t>
      </w:r>
    </w:p>
    <w:p>
      <w:pPr>
        <w:pStyle w:val="ListNumber"/>
        <w:spacing w:after="80" w:before="0" w:line="360" w:lineRule="auto"/>
        <w:jc w:val="both"/>
      </w:pPr>
      <w:r>
        <w:rPr>
          <w:rFonts w:ascii="Montserrat" w:hAnsi="Montserrat" w:eastAsia="Montserrat" w:cs="Montserrat"/>
          <w:b w:val="0"/>
          <w:i w:val="0"/>
          <w:sz w:val="22"/>
        </w:rPr>
        <w:t>Proof of concept (design). Audience and permissions model defined who sees what.</w:t>
      </w:r>
    </w:p>
    <w:p>
      <w:pPr>
        <w:pStyle w:val="ListNumber"/>
        <w:spacing w:after="80" w:before="0" w:line="360" w:lineRule="auto"/>
        <w:jc w:val="both"/>
      </w:pPr>
      <w:r>
        <w:rPr>
          <w:rFonts w:ascii="Montserrat" w:hAnsi="Montserrat" w:eastAsia="Montserrat" w:cs="Montserrat"/>
          <w:b w:val="0"/>
          <w:i w:val="0"/>
          <w:sz w:val="22"/>
        </w:rPr>
        <w:t>MVP (staging, July–August 2026). Role-aware dashboard wired to ranking, matching, risk, and explanation; sample-cohort evaluation; demo gate.</w:t>
      </w:r>
    </w:p>
    <w:p>
      <w:pPr>
        <w:pStyle w:val="ListNumber"/>
        <w:spacing w:after="80" w:before="0" w:line="360" w:lineRule="auto"/>
        <w:jc w:val="both"/>
      </w:pPr>
      <w:r>
        <w:rPr>
          <w:rFonts w:ascii="Montserrat" w:hAnsi="Montserrat" w:eastAsia="Montserrat" w:cs="Montserrat"/>
          <w:b w:val="0"/>
          <w:i w:val="0"/>
          <w:sz w:val="22"/>
        </w:rPr>
        <w:t>Pilot (planned, not claimed as done). Usability with live ESL scholars; a real mentor roster with logged sessions; weekly risk SOP. A bootcamp is the intended launch vehicle that activates the OS inside the ESL cohort. This report does not treat any working-note date as a completed field evaluation with attendance, NPS, internships, or completion rates.</w:t>
      </w:r>
    </w:p>
    <w:p>
      <w:pPr>
        <w:spacing w:after="160" w:before="0" w:line="360" w:lineRule="auto"/>
        <w:jc w:val="both"/>
      </w:pPr>
      <w:r>
        <w:rPr>
          <w:rFonts w:ascii="Montserrat" w:hAnsi="Montserrat" w:eastAsia="Montserrat" w:cs="Montserrat"/>
          <w:b w:val="0"/>
          <w:i w:val="0"/>
          <w:sz w:val="22"/>
        </w:rPr>
        <w:t>The bootcamp’s design job, if and when it is delivered, is activation rather than curriculum invention: a Mentor Hub login, a ranked opportunity list, a named mentor path, and a clear rule that risk flags are reviewed by a human. None of that is reported here as an outcome.</w:t>
      </w:r>
    </w:p>
    <w:p>
      <w:pPr>
        <w:spacing w:after="120" w:before="240" w:line="276" w:lineRule="auto"/>
        <w:jc w:val="left"/>
      </w:pPr>
      <w:r>
        <w:rPr>
          <w:rFonts w:ascii="Montserrat" w:hAnsi="Montserrat" w:eastAsia="Montserrat" w:cs="Montserrat"/>
          <w:b/>
          <w:i w:val="0"/>
          <w:color w:val="0D1B2A"/>
          <w:sz w:val="22"/>
        </w:rPr>
        <w:t>3.7 Implementation Approach and Phasing</w:t>
      </w:r>
    </w:p>
    <w:p>
      <w:pPr>
        <w:spacing w:after="160" w:before="0" w:line="360" w:lineRule="auto"/>
        <w:jc w:val="both"/>
      </w:pPr>
      <w:r>
        <w:rPr>
          <w:rFonts w:ascii="Montserrat" w:hAnsi="Montserrat" w:eastAsia="Montserrat" w:cs="Montserrat"/>
          <w:b w:val="0"/>
          <w:i w:val="0"/>
          <w:sz w:val="22"/>
        </w:rPr>
        <w:t>Phase 0 (done for Capstone). Staging Mentor Hub as OS for ESL; ranking, matching, risk, and explanation; metric hygiene; ED/MD gate named; bootcamp specified as intended launch path.</w:t>
      </w:r>
    </w:p>
    <w:p>
      <w:pPr>
        <w:spacing w:after="160" w:before="0" w:line="360" w:lineRule="auto"/>
        <w:jc w:val="both"/>
      </w:pPr>
      <w:r>
        <w:rPr>
          <w:rFonts w:ascii="Montserrat" w:hAnsi="Montserrat" w:eastAsia="Montserrat" w:cs="Montserrat"/>
          <w:b w:val="0"/>
          <w:i w:val="0"/>
          <w:sz w:val="22"/>
        </w:rPr>
        <w:t>Phase 1 (0–6 months). P0 freeze: opportunities, Mentor Hub, risk. Replace demo JSON with ESL/Supabase records. Recruit real mentors. Weekly admin queue. Six-month cash plan. Board finance and legal candidates. Deliver the bootcamp as launch activation if operations can host it honestly.</w:t>
      </w:r>
    </w:p>
    <w:p>
      <w:pPr>
        <w:spacing w:after="160" w:before="0" w:line="360" w:lineRule="auto"/>
        <w:jc w:val="both"/>
      </w:pPr>
      <w:r>
        <w:rPr>
          <w:rFonts w:ascii="Montserrat" w:hAnsi="Montserrat" w:eastAsia="Montserrat" w:cs="Montserrat"/>
          <w:b w:val="0"/>
          <w:i w:val="0"/>
          <w:sz w:val="22"/>
        </w:rPr>
        <w:t>Phase 2 (6–12 months). Retrain on live labels; retire synthetic-only AUC claims; two institutional MoUs; hybrid revenue pilots; MEARL dashboard on the organisational impact panel.</w:t>
      </w:r>
    </w:p>
    <w:p>
      <w:pPr>
        <w:spacing w:after="160" w:before="0" w:line="360" w:lineRule="auto"/>
        <w:jc w:val="both"/>
      </w:pPr>
      <w:r>
        <w:rPr>
          <w:rFonts w:ascii="Montserrat" w:hAnsi="Montserrat" w:eastAsia="Montserrat" w:cs="Montserrat"/>
          <w:b w:val="0"/>
          <w:i w:val="0"/>
          <w:sz w:val="22"/>
        </w:rPr>
        <w:t>Phase 3 (12–24 months). Partner OS package; production publish if gates pass; independent ethics/bias review; geography only after depth and mentor-ratio tests.</w:t>
      </w:r>
    </w:p>
    <w:p>
      <w:pPr>
        <w:spacing w:after="160" w:before="0" w:line="360" w:lineRule="auto"/>
        <w:jc w:val="both"/>
      </w:pPr>
      <w:r>
        <w:rPr>
          <w:rFonts w:ascii="Montserrat" w:hAnsi="Montserrat" w:eastAsia="Montserrat" w:cs="Montserrat"/>
          <w:b w:val="0"/>
          <w:i w:val="0"/>
          <w:sz w:val="22"/>
        </w:rPr>
        <w:t>Kill criteria. If mentor supply cannot support ESL quality, freeze matching expansion. If opportunity freshness fails, freeze acquisition marketing. If legal review blocks production data, remain on staging.</w:t>
      </w:r>
    </w:p>
    <w:p>
      <w:pPr>
        <w:spacing w:after="120" w:before="240" w:line="276" w:lineRule="auto"/>
        <w:jc w:val="left"/>
      </w:pPr>
      <w:r>
        <w:rPr>
          <w:rFonts w:ascii="Montserrat" w:hAnsi="Montserrat" w:eastAsia="Montserrat" w:cs="Montserrat"/>
          <w:b/>
          <w:i w:val="0"/>
          <w:color w:val="0D1B2A"/>
          <w:sz w:val="22"/>
        </w:rPr>
        <w:t>3.8 Link to Implementation and Evaluation</w:t>
      </w:r>
    </w:p>
    <w:p>
      <w:pPr>
        <w:spacing w:after="160" w:before="0" w:line="360" w:lineRule="auto"/>
        <w:jc w:val="both"/>
      </w:pPr>
      <w:r>
        <w:rPr>
          <w:rFonts w:ascii="Montserrat" w:hAnsi="Montserrat" w:eastAsia="Montserrat" w:cs="Montserrat"/>
          <w:b w:val="0"/>
          <w:i w:val="0"/>
          <w:sz w:val="22"/>
        </w:rPr>
        <w:t>Chapter Four reports what was actually executed and measured on the sample cohort, and what was not. Readers should expect Precision@5, Mentor F1, NLP recall, a synthetic AUC caveat, platform sample counts, and shipping proof. They should not expect live ESL survey n, bootcamp NPS, or production traffic. They should expect the organisational impact panel (6+ countries including Rwanda; 153+; 85+; Mentor Hub; $158,000+) to remain in a separate table from sample-cohort model KPIs.</w:t>
      </w:r>
    </w:p>
    <w:p>
      <w:r>
        <w:br w:type="page"/>
      </w:r>
    </w:p>
    <w:p>
      <w:pPr>
        <w:spacing w:after="240" w:before="0" w:line="276" w:lineRule="auto"/>
        <w:jc w:val="left"/>
      </w:pPr>
      <w:r>
        <w:rPr>
          <w:rFonts w:ascii="Montserrat" w:hAnsi="Montserrat" w:eastAsia="Montserrat" w:cs="Montserrat"/>
          <w:b/>
          <w:i w:val="0"/>
          <w:color w:val="0D1B2A"/>
          <w:sz w:val="24"/>
        </w:rPr>
        <w:t>CHAPTER FOUR: IMPLEMENTATION, RESULTS AND EVALUATION</w:t>
      </w:r>
    </w:p>
    <w:p>
      <w:pPr>
        <w:spacing w:after="120" w:before="240" w:line="276" w:lineRule="auto"/>
        <w:jc w:val="left"/>
      </w:pPr>
      <w:r>
        <w:rPr>
          <w:rFonts w:ascii="Montserrat" w:hAnsi="Montserrat" w:eastAsia="Montserrat" w:cs="Montserrat"/>
          <w:b/>
          <w:i w:val="0"/>
          <w:color w:val="0D1B2A"/>
          <w:sz w:val="22"/>
        </w:rPr>
        <w:t>4.1 Introduction to Implementation</w:t>
      </w:r>
    </w:p>
    <w:p>
      <w:pPr>
        <w:spacing w:after="160" w:before="0" w:line="360" w:lineRule="auto"/>
        <w:jc w:val="both"/>
      </w:pPr>
      <w:r>
        <w:rPr>
          <w:rFonts w:ascii="Montserrat" w:hAnsi="Montserrat" w:eastAsia="Montserrat" w:cs="Montserrat"/>
          <w:b w:val="0"/>
          <w:i w:val="0"/>
          <w:sz w:val="22"/>
        </w:rPr>
        <w:t>This chapter reports what Capstone II actually shipped and measured. The object of evaluation is the staging Mentor Hub as the OS for ESL, not ESL itself and not a completed national programme. Evidence is separated into four buckets: organisational ESL impact (context only), sample-cohort model KPIs, platform sample statistics, and shipping proof. Primary evaluation source is the JointHub Capstone II implementation evaluation pack (SimpleJoint Trust, 2026b).</w:t>
      </w:r>
    </w:p>
    <w:p>
      <w:pPr>
        <w:spacing w:after="160" w:before="0" w:line="360" w:lineRule="auto"/>
        <w:jc w:val="both"/>
      </w:pPr>
      <w:r>
        <w:rPr>
          <w:rFonts w:ascii="Montserrat" w:hAnsi="Montserrat" w:eastAsia="Montserrat" w:cs="Montserrat"/>
          <w:b w:val="0"/>
          <w:i w:val="0"/>
          <w:sz w:val="22"/>
        </w:rPr>
        <w:t>What this chapter does not claim: completed live ESL focus-group results; bootcamp attendance, NPS, internships, or completion rates; production-scale usage; or live-label model performance.</w:t>
      </w:r>
    </w:p>
    <w:p>
      <w:pPr>
        <w:spacing w:after="120" w:before="240" w:line="276" w:lineRule="auto"/>
        <w:jc w:val="left"/>
      </w:pPr>
      <w:r>
        <w:rPr>
          <w:rFonts w:ascii="Montserrat" w:hAnsi="Montserrat" w:eastAsia="Montserrat" w:cs="Montserrat"/>
          <w:b/>
          <w:i w:val="0"/>
          <w:color w:val="0D1B2A"/>
          <w:sz w:val="22"/>
        </w:rPr>
        <w:t>4.2 Project Execution and Activities</w:t>
      </w:r>
    </w:p>
    <w:p>
      <w:pPr>
        <w:spacing w:after="160" w:before="0" w:line="360" w:lineRule="auto"/>
        <w:jc w:val="both"/>
      </w:pPr>
      <w:r>
        <w:rPr>
          <w:rFonts w:ascii="Montserrat" w:hAnsi="Montserrat" w:eastAsia="Montserrat" w:cs="Montserrat"/>
          <w:b w:val="0"/>
          <w:i w:val="0"/>
          <w:sz w:val="22"/>
        </w:rPr>
        <w:t xml:space="preserve">Product work. Scholar, mentor, and admin views were wired to ranking, matching, risk, and explanation. The Capstone demonstration path is Login at </w:t>
      </w:r>
      <w:r>
        <w:rPr>
          <w:rFonts w:ascii="Montserrat" w:hAnsi="Montserrat" w:eastAsia="Montserrat" w:cs="Montserrat"/>
          <w:b w:val="0"/>
          <w:i w:val="0"/>
          <w:sz w:val="18"/>
        </w:rPr>
        <w:t>/dashboard/login</w:t>
      </w:r>
      <w:r>
        <w:rPr>
          <w:rFonts w:ascii="Montserrat" w:hAnsi="Montserrat" w:eastAsia="Montserrat" w:cs="Montserrat"/>
          <w:b w:val="0"/>
          <w:i w:val="0"/>
          <w:sz w:val="22"/>
        </w:rPr>
        <w:t xml:space="preserve">, not the production Sign Up shell. Demo accounts: </w:t>
      </w:r>
      <w:r>
        <w:rPr>
          <w:rFonts w:ascii="Montserrat" w:hAnsi="Montserrat" w:eastAsia="Montserrat" w:cs="Montserrat"/>
          <w:b w:val="0"/>
          <w:i w:val="0"/>
          <w:sz w:val="18"/>
        </w:rPr>
        <w:t>leader1@jointhub.demo</w:t>
      </w:r>
      <w:r>
        <w:rPr>
          <w:rFonts w:ascii="Montserrat" w:hAnsi="Montserrat" w:eastAsia="Montserrat" w:cs="Montserrat"/>
          <w:b w:val="0"/>
          <w:i w:val="0"/>
          <w:sz w:val="22"/>
        </w:rPr>
        <w:t xml:space="preserve"> (scholar: Opportunities Top-5, Why recommended, Mentor Hub); </w:t>
      </w:r>
      <w:r>
        <w:rPr>
          <w:rFonts w:ascii="Montserrat" w:hAnsi="Montserrat" w:eastAsia="Montserrat" w:cs="Montserrat"/>
          <w:b w:val="0"/>
          <w:i w:val="0"/>
          <w:sz w:val="18"/>
        </w:rPr>
        <w:t>scholar1@jointhub.demo</w:t>
      </w:r>
      <w:r>
        <w:rPr>
          <w:rFonts w:ascii="Montserrat" w:hAnsi="Montserrat" w:eastAsia="Montserrat" w:cs="Montserrat"/>
          <w:b w:val="0"/>
          <w:i w:val="0"/>
          <w:sz w:val="22"/>
        </w:rPr>
        <w:t xml:space="preserve">; </w:t>
      </w:r>
      <w:r>
        <w:rPr>
          <w:rFonts w:ascii="Montserrat" w:hAnsi="Montserrat" w:eastAsia="Montserrat" w:cs="Montserrat"/>
          <w:b w:val="0"/>
          <w:i w:val="0"/>
          <w:sz w:val="18"/>
        </w:rPr>
        <w:t>mentor1@jointhub.demo</w:t>
      </w:r>
      <w:r>
        <w:rPr>
          <w:rFonts w:ascii="Montserrat" w:hAnsi="Montserrat" w:eastAsia="Montserrat" w:cs="Montserrat"/>
          <w:b w:val="0"/>
          <w:i w:val="0"/>
          <w:sz w:val="22"/>
        </w:rPr>
        <w:t xml:space="preserve">; </w:t>
      </w:r>
      <w:r>
        <w:rPr>
          <w:rFonts w:ascii="Montserrat" w:hAnsi="Montserrat" w:eastAsia="Montserrat" w:cs="Montserrat"/>
          <w:b w:val="0"/>
          <w:i w:val="0"/>
          <w:sz w:val="18"/>
        </w:rPr>
        <w:t>admin@jointhub.demo</w:t>
      </w:r>
      <w:r>
        <w:rPr>
          <w:rFonts w:ascii="Montserrat" w:hAnsi="Montserrat" w:eastAsia="Montserrat" w:cs="Montserrat"/>
          <w:b w:val="0"/>
          <w:i w:val="0"/>
          <w:sz w:val="22"/>
        </w:rPr>
        <w:t xml:space="preserve"> (risk queue and analytics).</w:t>
      </w:r>
    </w:p>
    <w:p>
      <w:pPr>
        <w:spacing w:after="160" w:before="0" w:line="360" w:lineRule="auto"/>
        <w:jc w:val="both"/>
      </w:pPr>
      <w:r>
        <w:rPr>
          <w:rFonts w:ascii="Montserrat" w:hAnsi="Montserrat" w:eastAsia="Montserrat" w:cs="Montserrat"/>
          <w:b w:val="0"/>
          <w:i w:val="0"/>
          <w:sz w:val="22"/>
        </w:rPr>
        <w:t>Data work. Six JSON schemas provided the sample cohort used for matching and risk. This is demo data, including synthetic labels for the risk classifier.</w:t>
      </w:r>
    </w:p>
    <w:p>
      <w:pPr>
        <w:spacing w:after="160" w:before="0" w:line="360" w:lineRule="auto"/>
        <w:jc w:val="both"/>
      </w:pPr>
      <w:r>
        <w:rPr>
          <w:rFonts w:ascii="Montserrat" w:hAnsi="Montserrat" w:eastAsia="Montserrat" w:cs="Montserrat"/>
          <w:b w:val="0"/>
          <w:i w:val="0"/>
          <w:sz w:val="22"/>
        </w:rPr>
        <w:t>Evaluation work. Pre-declared targets were Precision@5 ≥ 0.75, Mentor F1 ≥ 0.70, NLP recall ≥ 0.80, and AUC reported only with a synthetic-label caveat (SimpleJoint Trust, 2026b).</w:t>
      </w:r>
    </w:p>
    <w:p>
      <w:pPr>
        <w:spacing w:after="160" w:before="0" w:line="360" w:lineRule="auto"/>
        <w:jc w:val="both"/>
      </w:pPr>
      <w:r>
        <w:rPr>
          <w:rFonts w:ascii="Montserrat" w:hAnsi="Montserrat" w:eastAsia="Montserrat" w:cs="Montserrat"/>
          <w:b w:val="0"/>
          <w:i w:val="0"/>
          <w:sz w:val="22"/>
        </w:rPr>
        <w:t>Governance work. Cynthia Kporon (MD) is named approver for external use and production publish. Isaiah Kporon remains ED and Capstone author. No production merge is claimed.</w:t>
      </w:r>
    </w:p>
    <w:p>
      <w:pPr>
        <w:spacing w:after="160" w:before="0" w:line="360" w:lineRule="auto"/>
        <w:jc w:val="both"/>
      </w:pPr>
      <w:r>
        <w:rPr>
          <w:rFonts w:ascii="Montserrat" w:hAnsi="Montserrat" w:eastAsia="Montserrat" w:cs="Montserrat"/>
          <w:b w:val="0"/>
          <w:i w:val="0"/>
          <w:sz w:val="22"/>
        </w:rPr>
        <w:t>Launch work. A bootcamp is the intended vehicle that launches the Mentor Hub OS into the ESL cohort. Because completion evidence is not in the evaluation pack, bootcamp outcomes are excluded from results.</w:t>
      </w:r>
    </w:p>
    <w:p>
      <w:pPr>
        <w:spacing w:after="160" w:before="0" w:line="360" w:lineRule="auto"/>
        <w:jc w:val="both"/>
      </w:pPr>
      <w:r>
        <w:rPr>
          <w:rFonts w:ascii="Montserrat" w:hAnsi="Montserrat" w:eastAsia="Montserrat" w:cs="Montserrat"/>
          <w:b w:val="0"/>
          <w:i w:val="0"/>
          <w:sz w:val="22"/>
        </w:rPr>
        <w:t>How execution was governed. The ED set the product narrative (OS for ESL, not marketplace). The MD holds the publish gate. Engineering delivered staging tabs that a non-technical examiner can click. Research locked metric hygiene so that organisational impact could not be laundered into model scores.</w:t>
      </w:r>
    </w:p>
    <w:p>
      <w:pPr>
        <w:spacing w:after="120" w:before="240" w:line="276" w:lineRule="auto"/>
        <w:jc w:val="left"/>
      </w:pPr>
      <w:r>
        <w:rPr>
          <w:rFonts w:ascii="Montserrat" w:hAnsi="Montserrat" w:eastAsia="Montserrat" w:cs="Montserrat"/>
          <w:b/>
          <w:i w:val="0"/>
          <w:color w:val="0D1B2A"/>
          <w:sz w:val="22"/>
        </w:rPr>
        <w:t>4.3 Performance Measurement Framework (KPIs)</w:t>
      </w:r>
    </w:p>
    <w:tbl>
      <w:tblPr>
        <w:tblW w:type="auto" w:w="0"/>
        <w:jc w:val="center"/>
        <w:tblLayout w:type="autofit"/>
        <w:tblLook w:firstColumn="1" w:firstRow="1" w:lastColumn="0" w:lastRow="0" w:noHBand="0" w:noVBand="1" w:val="04A0"/>
      </w:tblPr>
      <w:tblGrid>
        <w:gridCol w:w="2166"/>
        <w:gridCol w:w="2166"/>
        <w:gridCol w:w="2166"/>
        <w:gridCol w:w="2166"/>
      </w:tblGrid>
      <w:tr>
        <w:tc>
          <w:tcPr>
            <w:tcW w:type="dxa" w:w="2166"/>
            <w:tcBorders>
              <w:top w:val="single" w:sz="4" w:space="0" w:color="D6D3D1"/>
              <w:left w:val="single" w:sz="4" w:space="0" w:color="D6D3D1"/>
              <w:bottom w:val="single" w:sz="4" w:space="0" w:color="D6D3D1"/>
              <w:right w:val="single" w:sz="4" w:space="0" w:color="D6D3D1"/>
            </w:tcBorders>
            <w:shd w:fill="0D1B2A" w:val="clear"/>
          </w:tcPr>
          <w:p>
            <w:pPr>
              <w:spacing w:after="40" w:before="40" w:line="240" w:lineRule="auto"/>
              <w:jc w:val="left"/>
            </w:pPr>
            <w:r>
              <w:rPr>
                <w:color w:val="FFFFFF"/>
              </w:rPr>
            </w:r>
            <w:r>
              <w:rPr>
                <w:rFonts w:ascii="Montserrat" w:hAnsi="Montserrat" w:eastAsia="Montserrat" w:cs="Montserrat"/>
                <w:b/>
                <w:i w:val="0"/>
                <w:color w:val="FFFFFF"/>
                <w:sz w:val="20"/>
              </w:rPr>
              <w:t>Bucket</w:t>
            </w:r>
          </w:p>
        </w:tc>
        <w:tc>
          <w:tcPr>
            <w:tcW w:type="dxa" w:w="2166"/>
            <w:tcBorders>
              <w:top w:val="single" w:sz="4" w:space="0" w:color="D6D3D1"/>
              <w:left w:val="single" w:sz="4" w:space="0" w:color="D6D3D1"/>
              <w:bottom w:val="single" w:sz="4" w:space="0" w:color="D6D3D1"/>
              <w:right w:val="single" w:sz="4" w:space="0" w:color="D6D3D1"/>
            </w:tcBorders>
            <w:shd w:fill="0D1B2A" w:val="clear"/>
          </w:tcPr>
          <w:p>
            <w:pPr>
              <w:spacing w:after="40" w:before="40" w:line="240" w:lineRule="auto"/>
              <w:jc w:val="left"/>
            </w:pPr>
            <w:r>
              <w:rPr>
                <w:color w:val="FFFFFF"/>
              </w:rPr>
            </w:r>
            <w:r>
              <w:rPr>
                <w:rFonts w:ascii="Montserrat" w:hAnsi="Montserrat" w:eastAsia="Montserrat" w:cs="Montserrat"/>
                <w:b/>
                <w:i w:val="0"/>
                <w:color w:val="FFFFFF"/>
                <w:sz w:val="20"/>
              </w:rPr>
              <w:t>Indicator</w:t>
            </w:r>
          </w:p>
        </w:tc>
        <w:tc>
          <w:tcPr>
            <w:tcW w:type="dxa" w:w="2166"/>
            <w:tcBorders>
              <w:top w:val="single" w:sz="4" w:space="0" w:color="D6D3D1"/>
              <w:left w:val="single" w:sz="4" w:space="0" w:color="D6D3D1"/>
              <w:bottom w:val="single" w:sz="4" w:space="0" w:color="D6D3D1"/>
              <w:right w:val="single" w:sz="4" w:space="0" w:color="D6D3D1"/>
            </w:tcBorders>
            <w:shd w:fill="0D1B2A" w:val="clear"/>
          </w:tcPr>
          <w:p>
            <w:pPr>
              <w:spacing w:after="40" w:before="40" w:line="240" w:lineRule="auto"/>
              <w:jc w:val="left"/>
            </w:pPr>
            <w:r>
              <w:rPr>
                <w:color w:val="FFFFFF"/>
              </w:rPr>
            </w:r>
            <w:r>
              <w:rPr>
                <w:rFonts w:ascii="Montserrat" w:hAnsi="Montserrat" w:eastAsia="Montserrat" w:cs="Montserrat"/>
                <w:b/>
                <w:i w:val="0"/>
                <w:color w:val="FFFFFF"/>
                <w:sz w:val="20"/>
              </w:rPr>
              <w:t>Source</w:t>
            </w:r>
          </w:p>
        </w:tc>
        <w:tc>
          <w:tcPr>
            <w:tcW w:type="dxa" w:w="2166"/>
            <w:tcBorders>
              <w:top w:val="single" w:sz="4" w:space="0" w:color="D6D3D1"/>
              <w:left w:val="single" w:sz="4" w:space="0" w:color="D6D3D1"/>
              <w:bottom w:val="single" w:sz="4" w:space="0" w:color="D6D3D1"/>
              <w:right w:val="single" w:sz="4" w:space="0" w:color="D6D3D1"/>
            </w:tcBorders>
            <w:shd w:fill="0D1B2A" w:val="clear"/>
          </w:tcPr>
          <w:p>
            <w:pPr>
              <w:spacing w:after="40" w:before="40" w:line="240" w:lineRule="auto"/>
              <w:jc w:val="left"/>
            </w:pPr>
            <w:r>
              <w:rPr>
                <w:color w:val="FFFFFF"/>
              </w:rPr>
            </w:r>
            <w:r>
              <w:rPr>
                <w:rFonts w:ascii="Montserrat" w:hAnsi="Montserrat" w:eastAsia="Montserrat" w:cs="Montserrat"/>
                <w:b/>
                <w:i w:val="0"/>
                <w:color w:val="FFFFFF"/>
                <w:sz w:val="20"/>
              </w:rPr>
              <w:t>Use</w:t>
            </w:r>
          </w:p>
        </w:tc>
      </w:tr>
      <w:tr>
        <w:tc>
          <w:tcPr>
            <w:tcW w:type="dxa" w:w="2166"/>
            <w:tcBorders>
              <w:top w:val="single" w:sz="4" w:space="0" w:color="D6D3D1"/>
              <w:left w:val="single" w:sz="4" w:space="0" w:color="D6D3D1"/>
              <w:bottom w:val="single" w:sz="4" w:space="0" w:color="D6D3D1"/>
              <w:right w:val="single" w:sz="4" w:space="0" w:color="D6D3D1"/>
            </w:tcBorders>
          </w:tcPr>
          <w:p>
            <w:pPr>
              <w:spacing w:after="40" w:before="40" w:line="240" w:lineRule="auto"/>
              <w:jc w:val="left"/>
            </w:pPr>
            <w:r/>
            <w:r>
              <w:rPr>
                <w:rFonts w:ascii="Montserrat" w:hAnsi="Montserrat" w:eastAsia="Montserrat" w:cs="Montserrat"/>
                <w:b w:val="0"/>
                <w:i w:val="0"/>
                <w:sz w:val="20"/>
              </w:rPr>
              <w:t>Organisation / programme impact</w:t>
            </w:r>
          </w:p>
        </w:tc>
        <w:tc>
          <w:tcPr>
            <w:tcW w:type="dxa" w:w="2166"/>
            <w:tcBorders>
              <w:top w:val="single" w:sz="4" w:space="0" w:color="D6D3D1"/>
              <w:left w:val="single" w:sz="4" w:space="0" w:color="D6D3D1"/>
              <w:bottom w:val="single" w:sz="4" w:space="0" w:color="D6D3D1"/>
              <w:right w:val="single" w:sz="4" w:space="0" w:color="D6D3D1"/>
            </w:tcBorders>
          </w:tcPr>
          <w:p>
            <w:pPr>
              <w:spacing w:after="40" w:before="40" w:line="240" w:lineRule="auto"/>
              <w:jc w:val="left"/>
            </w:pPr>
            <w:r/>
            <w:r>
              <w:rPr>
                <w:rFonts w:ascii="Montserrat" w:hAnsi="Montserrat" w:eastAsia="Montserrat" w:cs="Montserrat"/>
                <w:b w:val="0"/>
                <w:i w:val="0"/>
                <w:sz w:val="20"/>
              </w:rPr>
              <w:t>6+ countries represented, including Rwanda; 153+ opportunities listed; 85+ students supported; The Mentor Hub as an AI-powered Mentorship Dashboard; $158,000+ scholarships/grants secured by scholars; 100% interview confidence; 88% leadership/service readiness</w:t>
            </w:r>
          </w:p>
        </w:tc>
        <w:tc>
          <w:tcPr>
            <w:tcW w:type="dxa" w:w="2166"/>
            <w:tcBorders>
              <w:top w:val="single" w:sz="4" w:space="0" w:color="D6D3D1"/>
              <w:left w:val="single" w:sz="4" w:space="0" w:color="D6D3D1"/>
              <w:bottom w:val="single" w:sz="4" w:space="0" w:color="D6D3D1"/>
              <w:right w:val="single" w:sz="4" w:space="0" w:color="D6D3D1"/>
            </w:tcBorders>
          </w:tcPr>
          <w:p>
            <w:pPr>
              <w:spacing w:after="40" w:before="40" w:line="240" w:lineRule="auto"/>
              <w:jc w:val="left"/>
            </w:pPr>
            <w:r/>
            <w:r>
              <w:rPr>
                <w:rFonts w:ascii="Montserrat" w:hAnsi="Montserrat" w:eastAsia="Montserrat" w:cs="Montserrat"/>
                <w:b w:val="0"/>
                <w:i w:val="0"/>
                <w:sz w:val="20"/>
              </w:rPr>
              <w:t>ESL programme record</w:t>
            </w:r>
          </w:p>
        </w:tc>
        <w:tc>
          <w:tcPr>
            <w:tcW w:type="dxa" w:w="2166"/>
            <w:tcBorders>
              <w:top w:val="single" w:sz="4" w:space="0" w:color="D6D3D1"/>
              <w:left w:val="single" w:sz="4" w:space="0" w:color="D6D3D1"/>
              <w:bottom w:val="single" w:sz="4" w:space="0" w:color="D6D3D1"/>
              <w:right w:val="single" w:sz="4" w:space="0" w:color="D6D3D1"/>
            </w:tcBorders>
          </w:tcPr>
          <w:p>
            <w:pPr>
              <w:spacing w:after="40" w:before="40" w:line="240" w:lineRule="auto"/>
              <w:jc w:val="left"/>
            </w:pPr>
            <w:r/>
            <w:r>
              <w:rPr>
                <w:rFonts w:ascii="Montserrat" w:hAnsi="Montserrat" w:eastAsia="Montserrat" w:cs="Montserrat"/>
                <w:b w:val="0"/>
                <w:i w:val="0"/>
                <w:sz w:val="20"/>
              </w:rPr>
              <w:t>Context and sustainability, not MVP accuracy</w:t>
            </w:r>
          </w:p>
        </w:tc>
      </w:tr>
      <w:tr>
        <w:tc>
          <w:tcPr>
            <w:tcW w:type="dxa" w:w="2166"/>
            <w:tcBorders>
              <w:top w:val="single" w:sz="4" w:space="0" w:color="D6D3D1"/>
              <w:left w:val="single" w:sz="4" w:space="0" w:color="D6D3D1"/>
              <w:bottom w:val="single" w:sz="4" w:space="0" w:color="D6D3D1"/>
              <w:right w:val="single" w:sz="4" w:space="0" w:color="D6D3D1"/>
            </w:tcBorders>
            <w:shd w:fill="F4F1EE" w:val="clear"/>
          </w:tcPr>
          <w:p>
            <w:pPr>
              <w:spacing w:after="40" w:before="40" w:line="240" w:lineRule="auto"/>
              <w:jc w:val="left"/>
            </w:pPr>
            <w:r/>
            <w:r>
              <w:rPr>
                <w:rFonts w:ascii="Montserrat" w:hAnsi="Montserrat" w:eastAsia="Montserrat" w:cs="Montserrat"/>
                <w:b w:val="0"/>
                <w:i w:val="0"/>
                <w:sz w:val="20"/>
              </w:rPr>
              <w:t>Model (sample)</w:t>
            </w:r>
          </w:p>
        </w:tc>
        <w:tc>
          <w:tcPr>
            <w:tcW w:type="dxa" w:w="2166"/>
            <w:tcBorders>
              <w:top w:val="single" w:sz="4" w:space="0" w:color="D6D3D1"/>
              <w:left w:val="single" w:sz="4" w:space="0" w:color="D6D3D1"/>
              <w:bottom w:val="single" w:sz="4" w:space="0" w:color="D6D3D1"/>
              <w:right w:val="single" w:sz="4" w:space="0" w:color="D6D3D1"/>
            </w:tcBorders>
            <w:shd w:fill="F4F1EE" w:val="clear"/>
          </w:tcPr>
          <w:p>
            <w:pPr>
              <w:spacing w:after="40" w:before="40" w:line="240" w:lineRule="auto"/>
              <w:jc w:val="left"/>
            </w:pPr>
            <w:r/>
            <w:r>
              <w:rPr>
                <w:rFonts w:ascii="Montserrat" w:hAnsi="Montserrat" w:eastAsia="Montserrat" w:cs="Montserrat"/>
                <w:b w:val="0"/>
                <w:i w:val="0"/>
                <w:sz w:val="20"/>
              </w:rPr>
              <w:t>Precision@5; Mentor F1; NLP recall; AUC</w:t>
            </w:r>
          </w:p>
        </w:tc>
        <w:tc>
          <w:tcPr>
            <w:tcW w:type="dxa" w:w="2166"/>
            <w:tcBorders>
              <w:top w:val="single" w:sz="4" w:space="0" w:color="D6D3D1"/>
              <w:left w:val="single" w:sz="4" w:space="0" w:color="D6D3D1"/>
              <w:bottom w:val="single" w:sz="4" w:space="0" w:color="D6D3D1"/>
              <w:right w:val="single" w:sz="4" w:space="0" w:color="D6D3D1"/>
            </w:tcBorders>
            <w:shd w:fill="F4F1EE" w:val="clear"/>
          </w:tcPr>
          <w:p>
            <w:pPr>
              <w:spacing w:after="40" w:before="40" w:line="240" w:lineRule="auto"/>
              <w:jc w:val="left"/>
            </w:pPr>
            <w:r/>
            <w:r>
              <w:rPr>
                <w:rFonts w:ascii="Montserrat" w:hAnsi="Montserrat" w:eastAsia="Montserrat" w:cs="Montserrat"/>
                <w:b w:val="0"/>
                <w:i w:val="0"/>
                <w:sz w:val="20"/>
              </w:rPr>
              <w:t>Sample cohort</w:t>
            </w:r>
          </w:p>
        </w:tc>
        <w:tc>
          <w:tcPr>
            <w:tcW w:type="dxa" w:w="2166"/>
            <w:tcBorders>
              <w:top w:val="single" w:sz="4" w:space="0" w:color="D6D3D1"/>
              <w:left w:val="single" w:sz="4" w:space="0" w:color="D6D3D1"/>
              <w:bottom w:val="single" w:sz="4" w:space="0" w:color="D6D3D1"/>
              <w:right w:val="single" w:sz="4" w:space="0" w:color="D6D3D1"/>
            </w:tcBorders>
            <w:shd w:fill="F4F1EE" w:val="clear"/>
          </w:tcPr>
          <w:p>
            <w:pPr>
              <w:spacing w:after="40" w:before="40" w:line="240" w:lineRule="auto"/>
              <w:jc w:val="left"/>
            </w:pPr>
            <w:r/>
            <w:r>
              <w:rPr>
                <w:rFonts w:ascii="Montserrat" w:hAnsi="Montserrat" w:eastAsia="Montserrat" w:cs="Montserrat"/>
                <w:b w:val="0"/>
                <w:i w:val="0"/>
                <w:sz w:val="20"/>
              </w:rPr>
              <w:t>Capstone algorithm proof</w:t>
            </w:r>
          </w:p>
        </w:tc>
      </w:tr>
      <w:tr>
        <w:tc>
          <w:tcPr>
            <w:tcW w:type="dxa" w:w="2166"/>
            <w:tcBorders>
              <w:top w:val="single" w:sz="4" w:space="0" w:color="D6D3D1"/>
              <w:left w:val="single" w:sz="4" w:space="0" w:color="D6D3D1"/>
              <w:bottom w:val="single" w:sz="4" w:space="0" w:color="D6D3D1"/>
              <w:right w:val="single" w:sz="4" w:space="0" w:color="D6D3D1"/>
            </w:tcBorders>
          </w:tcPr>
          <w:p>
            <w:pPr>
              <w:spacing w:after="40" w:before="40" w:line="240" w:lineRule="auto"/>
              <w:jc w:val="left"/>
            </w:pPr>
            <w:r/>
            <w:r>
              <w:rPr>
                <w:rFonts w:ascii="Montserrat" w:hAnsi="Montserrat" w:eastAsia="Montserrat" w:cs="Montserrat"/>
                <w:b w:val="0"/>
                <w:i w:val="0"/>
                <w:sz w:val="20"/>
              </w:rPr>
              <w:t>Platform sample</w:t>
            </w:r>
          </w:p>
        </w:tc>
        <w:tc>
          <w:tcPr>
            <w:tcW w:type="dxa" w:w="2166"/>
            <w:tcBorders>
              <w:top w:val="single" w:sz="4" w:space="0" w:color="D6D3D1"/>
              <w:left w:val="single" w:sz="4" w:space="0" w:color="D6D3D1"/>
              <w:bottom w:val="single" w:sz="4" w:space="0" w:color="D6D3D1"/>
              <w:right w:val="single" w:sz="4" w:space="0" w:color="D6D3D1"/>
            </w:tcBorders>
          </w:tcPr>
          <w:p>
            <w:pPr>
              <w:spacing w:after="40" w:before="40" w:line="240" w:lineRule="auto"/>
              <w:jc w:val="left"/>
            </w:pPr>
            <w:r/>
            <w:r>
              <w:rPr>
                <w:rFonts w:ascii="Montserrat" w:hAnsi="Montserrat" w:eastAsia="Montserrat" w:cs="Montserrat"/>
                <w:b w:val="0"/>
                <w:i w:val="0"/>
                <w:sz w:val="20"/>
              </w:rPr>
              <w:t>Users, matches, mentor pairs, at-risk flags, NPS proxy, scam flags</w:t>
            </w:r>
          </w:p>
        </w:tc>
        <w:tc>
          <w:tcPr>
            <w:tcW w:type="dxa" w:w="2166"/>
            <w:tcBorders>
              <w:top w:val="single" w:sz="4" w:space="0" w:color="D6D3D1"/>
              <w:left w:val="single" w:sz="4" w:space="0" w:color="D6D3D1"/>
              <w:bottom w:val="single" w:sz="4" w:space="0" w:color="D6D3D1"/>
              <w:right w:val="single" w:sz="4" w:space="0" w:color="D6D3D1"/>
            </w:tcBorders>
          </w:tcPr>
          <w:p>
            <w:pPr>
              <w:spacing w:after="40" w:before="40" w:line="240" w:lineRule="auto"/>
              <w:jc w:val="left"/>
            </w:pPr>
            <w:r/>
            <w:r>
              <w:rPr>
                <w:rFonts w:ascii="Montserrat" w:hAnsi="Montserrat" w:eastAsia="Montserrat" w:cs="Montserrat"/>
                <w:b w:val="0"/>
                <w:i w:val="0"/>
                <w:sz w:val="20"/>
              </w:rPr>
              <w:t>Demo JSON</w:t>
            </w:r>
          </w:p>
        </w:tc>
        <w:tc>
          <w:tcPr>
            <w:tcW w:type="dxa" w:w="2166"/>
            <w:tcBorders>
              <w:top w:val="single" w:sz="4" w:space="0" w:color="D6D3D1"/>
              <w:left w:val="single" w:sz="4" w:space="0" w:color="D6D3D1"/>
              <w:bottom w:val="single" w:sz="4" w:space="0" w:color="D6D3D1"/>
              <w:right w:val="single" w:sz="4" w:space="0" w:color="D6D3D1"/>
            </w:tcBorders>
          </w:tcPr>
          <w:p>
            <w:pPr>
              <w:spacing w:after="40" w:before="40" w:line="240" w:lineRule="auto"/>
              <w:jc w:val="left"/>
            </w:pPr>
            <w:r/>
            <w:r>
              <w:rPr>
                <w:rFonts w:ascii="Montserrat" w:hAnsi="Montserrat" w:eastAsia="Montserrat" w:cs="Montserrat"/>
                <w:b w:val="0"/>
                <w:i w:val="0"/>
                <w:sz w:val="20"/>
              </w:rPr>
              <w:t>Throughput illustration</w:t>
            </w:r>
          </w:p>
        </w:tc>
      </w:tr>
      <w:tr>
        <w:tc>
          <w:tcPr>
            <w:tcW w:type="dxa" w:w="2166"/>
            <w:tcBorders>
              <w:top w:val="single" w:sz="4" w:space="0" w:color="D6D3D1"/>
              <w:left w:val="single" w:sz="4" w:space="0" w:color="D6D3D1"/>
              <w:bottom w:val="single" w:sz="4" w:space="0" w:color="D6D3D1"/>
              <w:right w:val="single" w:sz="4" w:space="0" w:color="D6D3D1"/>
            </w:tcBorders>
            <w:shd w:fill="F4F1EE" w:val="clear"/>
          </w:tcPr>
          <w:p>
            <w:pPr>
              <w:spacing w:after="40" w:before="40" w:line="240" w:lineRule="auto"/>
              <w:jc w:val="left"/>
            </w:pPr>
            <w:r/>
            <w:r>
              <w:rPr>
                <w:rFonts w:ascii="Montserrat" w:hAnsi="Montserrat" w:eastAsia="Montserrat" w:cs="Montserrat"/>
                <w:b w:val="0"/>
                <w:i w:val="0"/>
                <w:sz w:val="20"/>
              </w:rPr>
              <w:t>Shipping</w:t>
            </w:r>
          </w:p>
        </w:tc>
        <w:tc>
          <w:tcPr>
            <w:tcW w:type="dxa" w:w="2166"/>
            <w:tcBorders>
              <w:top w:val="single" w:sz="4" w:space="0" w:color="D6D3D1"/>
              <w:left w:val="single" w:sz="4" w:space="0" w:color="D6D3D1"/>
              <w:bottom w:val="single" w:sz="4" w:space="0" w:color="D6D3D1"/>
              <w:right w:val="single" w:sz="4" w:space="0" w:color="D6D3D1"/>
            </w:tcBorders>
            <w:shd w:fill="F4F1EE" w:val="clear"/>
          </w:tcPr>
          <w:p>
            <w:pPr>
              <w:spacing w:after="40" w:before="40" w:line="240" w:lineRule="auto"/>
              <w:jc w:val="left"/>
            </w:pPr>
            <w:r/>
            <w:r>
              <w:rPr>
                <w:rFonts w:ascii="Montserrat" w:hAnsi="Montserrat" w:eastAsia="Montserrat" w:cs="Montserrat"/>
                <w:b w:val="0"/>
                <w:i w:val="0"/>
                <w:sz w:val="20"/>
              </w:rPr>
              <w:t>Staging URL; role-aware login; live dashboard tabs</w:t>
            </w:r>
          </w:p>
        </w:tc>
        <w:tc>
          <w:tcPr>
            <w:tcW w:type="dxa" w:w="2166"/>
            <w:tcBorders>
              <w:top w:val="single" w:sz="4" w:space="0" w:color="D6D3D1"/>
              <w:left w:val="single" w:sz="4" w:space="0" w:color="D6D3D1"/>
              <w:bottom w:val="single" w:sz="4" w:space="0" w:color="D6D3D1"/>
              <w:right w:val="single" w:sz="4" w:space="0" w:color="D6D3D1"/>
            </w:tcBorders>
            <w:shd w:fill="F4F1EE" w:val="clear"/>
          </w:tcPr>
          <w:p>
            <w:pPr>
              <w:spacing w:after="40" w:before="40" w:line="240" w:lineRule="auto"/>
              <w:jc w:val="left"/>
            </w:pPr>
            <w:r/>
            <w:r>
              <w:rPr>
                <w:rFonts w:ascii="Montserrat" w:hAnsi="Montserrat" w:eastAsia="Montserrat" w:cs="Montserrat"/>
                <w:b w:val="0"/>
                <w:i w:val="0"/>
                <w:sz w:val="20"/>
              </w:rPr>
              <w:t>Product</w:t>
            </w:r>
          </w:p>
        </w:tc>
        <w:tc>
          <w:tcPr>
            <w:tcW w:type="dxa" w:w="2166"/>
            <w:tcBorders>
              <w:top w:val="single" w:sz="4" w:space="0" w:color="D6D3D1"/>
              <w:left w:val="single" w:sz="4" w:space="0" w:color="D6D3D1"/>
              <w:bottom w:val="single" w:sz="4" w:space="0" w:color="D6D3D1"/>
              <w:right w:val="single" w:sz="4" w:space="0" w:color="D6D3D1"/>
            </w:tcBorders>
            <w:shd w:fill="F4F1EE" w:val="clear"/>
          </w:tcPr>
          <w:p>
            <w:pPr>
              <w:spacing w:after="40" w:before="40" w:line="240" w:lineRule="auto"/>
              <w:jc w:val="left"/>
            </w:pPr>
            <w:r/>
            <w:r>
              <w:rPr>
                <w:rFonts w:ascii="Montserrat" w:hAnsi="Montserrat" w:eastAsia="Montserrat" w:cs="Montserrat"/>
                <w:b w:val="0"/>
                <w:i w:val="0"/>
                <w:sz w:val="20"/>
              </w:rPr>
              <w:t>Implementation proof</w:t>
            </w:r>
          </w:p>
        </w:tc>
      </w:tr>
      <w:tr>
        <w:tc>
          <w:tcPr>
            <w:tcW w:type="dxa" w:w="2166"/>
            <w:tcBorders>
              <w:top w:val="single" w:sz="4" w:space="0" w:color="D6D3D1"/>
              <w:left w:val="single" w:sz="4" w:space="0" w:color="D6D3D1"/>
              <w:bottom w:val="single" w:sz="4" w:space="0" w:color="D6D3D1"/>
              <w:right w:val="single" w:sz="4" w:space="0" w:color="D6D3D1"/>
            </w:tcBorders>
          </w:tcPr>
          <w:p>
            <w:pPr>
              <w:spacing w:after="40" w:before="40" w:line="240" w:lineRule="auto"/>
              <w:jc w:val="left"/>
            </w:pPr>
            <w:r/>
            <w:r>
              <w:rPr>
                <w:rFonts w:ascii="Montserrat" w:hAnsi="Montserrat" w:eastAsia="Montserrat" w:cs="Montserrat"/>
                <w:b w:val="0"/>
                <w:i w:val="0"/>
                <w:sz w:val="20"/>
              </w:rPr>
              <w:t>Finance (directional)</w:t>
            </w:r>
          </w:p>
        </w:tc>
        <w:tc>
          <w:tcPr>
            <w:tcW w:type="dxa" w:w="2166"/>
            <w:tcBorders>
              <w:top w:val="single" w:sz="4" w:space="0" w:color="D6D3D1"/>
              <w:left w:val="single" w:sz="4" w:space="0" w:color="D6D3D1"/>
              <w:bottom w:val="single" w:sz="4" w:space="0" w:color="D6D3D1"/>
              <w:right w:val="single" w:sz="4" w:space="0" w:color="D6D3D1"/>
            </w:tcBorders>
          </w:tcPr>
          <w:p>
            <w:pPr>
              <w:spacing w:after="40" w:before="40" w:line="240" w:lineRule="auto"/>
              <w:jc w:val="left"/>
            </w:pPr>
            <w:r/>
            <w:r>
              <w:rPr>
                <w:rFonts w:ascii="Montserrat" w:hAnsi="Montserrat" w:eastAsia="Montserrat" w:cs="Montserrat"/>
                <w:b w:val="0"/>
                <w:i w:val="0"/>
                <w:sz w:val="20"/>
              </w:rPr>
              <w:t>Cash out ~$80–110; input ~$735 including volunteer; conservative social value ~$54,600; SROI ~74:1</w:t>
            </w:r>
          </w:p>
        </w:tc>
        <w:tc>
          <w:tcPr>
            <w:tcW w:type="dxa" w:w="2166"/>
            <w:tcBorders>
              <w:top w:val="single" w:sz="4" w:space="0" w:color="D6D3D1"/>
              <w:left w:val="single" w:sz="4" w:space="0" w:color="D6D3D1"/>
              <w:bottom w:val="single" w:sz="4" w:space="0" w:color="D6D3D1"/>
              <w:right w:val="single" w:sz="4" w:space="0" w:color="D6D3D1"/>
            </w:tcBorders>
          </w:tcPr>
          <w:p>
            <w:pPr>
              <w:spacing w:after="40" w:before="40" w:line="240" w:lineRule="auto"/>
              <w:jc w:val="left"/>
            </w:pPr>
            <w:r/>
            <w:r>
              <w:rPr>
                <w:rFonts w:ascii="Montserrat" w:hAnsi="Montserrat" w:eastAsia="Montserrat" w:cs="Montserrat"/>
                <w:b w:val="0"/>
                <w:i w:val="0"/>
                <w:sz w:val="20"/>
              </w:rPr>
              <w:t>Campaign plan</w:t>
            </w:r>
          </w:p>
        </w:tc>
        <w:tc>
          <w:tcPr>
            <w:tcW w:type="dxa" w:w="2166"/>
            <w:tcBorders>
              <w:top w:val="single" w:sz="4" w:space="0" w:color="D6D3D1"/>
              <w:left w:val="single" w:sz="4" w:space="0" w:color="D6D3D1"/>
              <w:bottom w:val="single" w:sz="4" w:space="0" w:color="D6D3D1"/>
              <w:right w:val="single" w:sz="4" w:space="0" w:color="D6D3D1"/>
            </w:tcBorders>
          </w:tcPr>
          <w:p>
            <w:pPr>
              <w:spacing w:after="40" w:before="40" w:line="240" w:lineRule="auto"/>
              <w:jc w:val="left"/>
            </w:pPr>
            <w:r/>
            <w:r>
              <w:rPr>
                <w:rFonts w:ascii="Montserrat" w:hAnsi="Montserrat" w:eastAsia="Montserrat" w:cs="Montserrat"/>
                <w:b w:val="0"/>
                <w:i w:val="0"/>
                <w:sz w:val="20"/>
              </w:rPr>
              <w:t>Directional only, not audited</w:t>
            </w:r>
          </w:p>
        </w:tc>
      </w:tr>
    </w:tbl>
    <w:p/>
    <w:p>
      <w:pPr>
        <w:spacing w:after="120" w:before="240" w:line="276" w:lineRule="auto"/>
        <w:jc w:val="left"/>
      </w:pPr>
      <w:r>
        <w:rPr>
          <w:rFonts w:ascii="Montserrat" w:hAnsi="Montserrat" w:eastAsia="Montserrat" w:cs="Montserrat"/>
          <w:b/>
          <w:i w:val="0"/>
          <w:color w:val="0D1B2A"/>
          <w:sz w:val="22"/>
        </w:rPr>
        <w:t>4.4 Results Achieved</w:t>
      </w:r>
    </w:p>
    <w:p>
      <w:pPr>
        <w:spacing w:after="80" w:before="160" w:line="276" w:lineRule="auto"/>
        <w:jc w:val="left"/>
      </w:pPr>
      <w:r>
        <w:rPr>
          <w:rFonts w:ascii="Montserrat" w:hAnsi="Montserrat" w:eastAsia="Montserrat" w:cs="Montserrat"/>
          <w:b w:val="0"/>
          <w:i/>
          <w:color w:val="0D1B2A"/>
          <w:sz w:val="22"/>
        </w:rPr>
        <w:t>Programme and platform impact (not caused by this MVP)</w:t>
      </w:r>
    </w:p>
    <w:tbl>
      <w:tblPr>
        <w:tblW w:type="auto" w:w="0"/>
        <w:jc w:val="center"/>
        <w:tblLayout w:type="autofit"/>
        <w:tblLook w:firstColumn="1" w:firstRow="1" w:lastColumn="0" w:lastRow="0" w:noHBand="0" w:noVBand="1" w:val="04A0"/>
      </w:tblPr>
      <w:tblGrid>
        <w:gridCol w:w="2889"/>
        <w:gridCol w:w="2889"/>
        <w:gridCol w:w="2889"/>
      </w:tblGrid>
      <w:tr>
        <w:tc>
          <w:tcPr>
            <w:tcW w:type="dxa" w:w="2889"/>
            <w:tcBorders>
              <w:top w:val="single" w:sz="4" w:space="0" w:color="D6D3D1"/>
              <w:left w:val="single" w:sz="4" w:space="0" w:color="D6D3D1"/>
              <w:bottom w:val="single" w:sz="4" w:space="0" w:color="D6D3D1"/>
              <w:right w:val="single" w:sz="4" w:space="0" w:color="D6D3D1"/>
            </w:tcBorders>
            <w:shd w:fill="0D1B2A" w:val="clear"/>
          </w:tcPr>
          <w:p>
            <w:pPr>
              <w:spacing w:after="40" w:before="40" w:line="240" w:lineRule="auto"/>
              <w:jc w:val="left"/>
            </w:pPr>
            <w:r>
              <w:rPr>
                <w:color w:val="FFFFFF"/>
              </w:rPr>
            </w:r>
            <w:r>
              <w:rPr>
                <w:rFonts w:ascii="Montserrat" w:hAnsi="Montserrat" w:eastAsia="Montserrat" w:cs="Montserrat"/>
                <w:b/>
                <w:i w:val="0"/>
                <w:color w:val="FFFFFF"/>
                <w:sz w:val="20"/>
              </w:rPr>
              <w:t>Indicator</w:t>
            </w:r>
          </w:p>
        </w:tc>
        <w:tc>
          <w:tcPr>
            <w:tcW w:type="dxa" w:w="2889"/>
            <w:tcBorders>
              <w:top w:val="single" w:sz="4" w:space="0" w:color="D6D3D1"/>
              <w:left w:val="single" w:sz="4" w:space="0" w:color="D6D3D1"/>
              <w:bottom w:val="single" w:sz="4" w:space="0" w:color="D6D3D1"/>
              <w:right w:val="single" w:sz="4" w:space="0" w:color="D6D3D1"/>
            </w:tcBorders>
            <w:shd w:fill="0D1B2A" w:val="clear"/>
          </w:tcPr>
          <w:p>
            <w:pPr>
              <w:spacing w:after="40" w:before="40" w:line="240" w:lineRule="auto"/>
              <w:jc w:val="left"/>
            </w:pPr>
            <w:r>
              <w:rPr>
                <w:color w:val="FFFFFF"/>
              </w:rPr>
            </w:r>
            <w:r>
              <w:rPr>
                <w:rFonts w:ascii="Montserrat" w:hAnsi="Montserrat" w:eastAsia="Montserrat" w:cs="Montserrat"/>
                <w:b/>
                <w:i w:val="0"/>
                <w:color w:val="FFFFFF"/>
                <w:sz w:val="20"/>
              </w:rPr>
              <w:t>Figure</w:t>
            </w:r>
          </w:p>
        </w:tc>
        <w:tc>
          <w:tcPr>
            <w:tcW w:type="dxa" w:w="2889"/>
            <w:tcBorders>
              <w:top w:val="single" w:sz="4" w:space="0" w:color="D6D3D1"/>
              <w:left w:val="single" w:sz="4" w:space="0" w:color="D6D3D1"/>
              <w:bottom w:val="single" w:sz="4" w:space="0" w:color="D6D3D1"/>
              <w:right w:val="single" w:sz="4" w:space="0" w:color="D6D3D1"/>
            </w:tcBorders>
            <w:shd w:fill="0D1B2A" w:val="clear"/>
          </w:tcPr>
          <w:p>
            <w:pPr>
              <w:spacing w:after="40" w:before="40" w:line="240" w:lineRule="auto"/>
              <w:jc w:val="left"/>
            </w:pPr>
            <w:r>
              <w:rPr>
                <w:color w:val="FFFFFF"/>
              </w:rPr>
            </w:r>
            <w:r>
              <w:rPr>
                <w:rFonts w:ascii="Montserrat" w:hAnsi="Montserrat" w:eastAsia="Montserrat" w:cs="Montserrat"/>
                <w:b/>
                <w:i w:val="0"/>
                <w:color w:val="FFFFFF"/>
                <w:sz w:val="20"/>
              </w:rPr>
              <w:t>Notes</w:t>
            </w:r>
          </w:p>
        </w:tc>
      </w:tr>
      <w:tr>
        <w:tc>
          <w:tcPr>
            <w:tcW w:type="dxa" w:w="2889"/>
            <w:tcBorders>
              <w:top w:val="single" w:sz="4" w:space="0" w:color="D6D3D1"/>
              <w:left w:val="single" w:sz="4" w:space="0" w:color="D6D3D1"/>
              <w:bottom w:val="single" w:sz="4" w:space="0" w:color="D6D3D1"/>
              <w:right w:val="single" w:sz="4" w:space="0" w:color="D6D3D1"/>
            </w:tcBorders>
          </w:tcPr>
          <w:p>
            <w:pPr>
              <w:spacing w:after="40" w:before="40" w:line="240" w:lineRule="auto"/>
              <w:jc w:val="left"/>
            </w:pPr>
            <w:r/>
            <w:r>
              <w:rPr>
                <w:rFonts w:ascii="Montserrat" w:hAnsi="Montserrat" w:eastAsia="Montserrat" w:cs="Montserrat"/>
                <w:b w:val="0"/>
                <w:i w:val="0"/>
                <w:sz w:val="20"/>
              </w:rPr>
              <w:t>Countries represented</w:t>
            </w:r>
          </w:p>
        </w:tc>
        <w:tc>
          <w:tcPr>
            <w:tcW w:type="dxa" w:w="2889"/>
            <w:tcBorders>
              <w:top w:val="single" w:sz="4" w:space="0" w:color="D6D3D1"/>
              <w:left w:val="single" w:sz="4" w:space="0" w:color="D6D3D1"/>
              <w:bottom w:val="single" w:sz="4" w:space="0" w:color="D6D3D1"/>
              <w:right w:val="single" w:sz="4" w:space="0" w:color="D6D3D1"/>
            </w:tcBorders>
          </w:tcPr>
          <w:p>
            <w:pPr>
              <w:spacing w:after="40" w:before="40" w:line="240" w:lineRule="auto"/>
              <w:jc w:val="left"/>
            </w:pPr>
            <w:r/>
            <w:r>
              <w:rPr>
                <w:rFonts w:ascii="Montserrat" w:hAnsi="Montserrat" w:eastAsia="Montserrat" w:cs="Montserrat"/>
                <w:b w:val="0"/>
                <w:i w:val="0"/>
                <w:sz w:val="20"/>
              </w:rPr>
              <w:t>6+, including Rwanda</w:t>
            </w:r>
          </w:p>
        </w:tc>
        <w:tc>
          <w:tcPr>
            <w:tcW w:type="dxa" w:w="2889"/>
            <w:tcBorders>
              <w:top w:val="single" w:sz="4" w:space="0" w:color="D6D3D1"/>
              <w:left w:val="single" w:sz="4" w:space="0" w:color="D6D3D1"/>
              <w:bottom w:val="single" w:sz="4" w:space="0" w:color="D6D3D1"/>
              <w:right w:val="single" w:sz="4" w:space="0" w:color="D6D3D1"/>
            </w:tcBorders>
          </w:tcPr>
          <w:p>
            <w:pPr>
              <w:spacing w:after="40" w:before="40" w:line="240" w:lineRule="auto"/>
              <w:jc w:val="left"/>
            </w:pPr>
            <w:r/>
            <w:r>
              <w:rPr>
                <w:rFonts w:ascii="Montserrat" w:hAnsi="Montserrat" w:eastAsia="Montserrat" w:cs="Montserrat"/>
                <w:b w:val="0"/>
                <w:i w:val="0"/>
                <w:sz w:val="20"/>
              </w:rPr>
              <w:t>Programme geography</w:t>
            </w:r>
          </w:p>
        </w:tc>
      </w:tr>
      <w:tr>
        <w:tc>
          <w:tcPr>
            <w:tcW w:type="dxa" w:w="2889"/>
            <w:tcBorders>
              <w:top w:val="single" w:sz="4" w:space="0" w:color="D6D3D1"/>
              <w:left w:val="single" w:sz="4" w:space="0" w:color="D6D3D1"/>
              <w:bottom w:val="single" w:sz="4" w:space="0" w:color="D6D3D1"/>
              <w:right w:val="single" w:sz="4" w:space="0" w:color="D6D3D1"/>
            </w:tcBorders>
            <w:shd w:fill="F4F1EE" w:val="clear"/>
          </w:tcPr>
          <w:p>
            <w:pPr>
              <w:spacing w:after="40" w:before="40" w:line="240" w:lineRule="auto"/>
              <w:jc w:val="left"/>
            </w:pPr>
            <w:r/>
            <w:r>
              <w:rPr>
                <w:rFonts w:ascii="Montserrat" w:hAnsi="Montserrat" w:eastAsia="Montserrat" w:cs="Montserrat"/>
                <w:b w:val="0"/>
                <w:i w:val="0"/>
                <w:sz w:val="20"/>
              </w:rPr>
              <w:t>Opportunities listed</w:t>
            </w:r>
          </w:p>
        </w:tc>
        <w:tc>
          <w:tcPr>
            <w:tcW w:type="dxa" w:w="2889"/>
            <w:tcBorders>
              <w:top w:val="single" w:sz="4" w:space="0" w:color="D6D3D1"/>
              <w:left w:val="single" w:sz="4" w:space="0" w:color="D6D3D1"/>
              <w:bottom w:val="single" w:sz="4" w:space="0" w:color="D6D3D1"/>
              <w:right w:val="single" w:sz="4" w:space="0" w:color="D6D3D1"/>
            </w:tcBorders>
            <w:shd w:fill="F4F1EE" w:val="clear"/>
          </w:tcPr>
          <w:p>
            <w:pPr>
              <w:spacing w:after="40" w:before="40" w:line="240" w:lineRule="auto"/>
              <w:jc w:val="left"/>
            </w:pPr>
            <w:r/>
            <w:r>
              <w:rPr>
                <w:rFonts w:ascii="Montserrat" w:hAnsi="Montserrat" w:eastAsia="Montserrat" w:cs="Montserrat"/>
                <w:b w:val="0"/>
                <w:i w:val="0"/>
                <w:sz w:val="20"/>
              </w:rPr>
              <w:t>153+</w:t>
            </w:r>
          </w:p>
        </w:tc>
        <w:tc>
          <w:tcPr>
            <w:tcW w:type="dxa" w:w="2889"/>
            <w:tcBorders>
              <w:top w:val="single" w:sz="4" w:space="0" w:color="D6D3D1"/>
              <w:left w:val="single" w:sz="4" w:space="0" w:color="D6D3D1"/>
              <w:bottom w:val="single" w:sz="4" w:space="0" w:color="D6D3D1"/>
              <w:right w:val="single" w:sz="4" w:space="0" w:color="D6D3D1"/>
            </w:tcBorders>
            <w:shd w:fill="F4F1EE" w:val="clear"/>
          </w:tcPr>
          <w:p>
            <w:pPr>
              <w:spacing w:after="40" w:before="40" w:line="240" w:lineRule="auto"/>
              <w:jc w:val="left"/>
            </w:pPr>
            <w:r/>
            <w:r>
              <w:rPr>
                <w:rFonts w:ascii="Montserrat" w:hAnsi="Montserrat" w:eastAsia="Montserrat" w:cs="Montserrat"/>
                <w:b w:val="0"/>
                <w:i w:val="0"/>
                <w:sz w:val="20"/>
              </w:rPr>
              <w:t>Curated inventory used by the Hub</w:t>
            </w:r>
          </w:p>
        </w:tc>
      </w:tr>
      <w:tr>
        <w:tc>
          <w:tcPr>
            <w:tcW w:type="dxa" w:w="2889"/>
            <w:tcBorders>
              <w:top w:val="single" w:sz="4" w:space="0" w:color="D6D3D1"/>
              <w:left w:val="single" w:sz="4" w:space="0" w:color="D6D3D1"/>
              <w:bottom w:val="single" w:sz="4" w:space="0" w:color="D6D3D1"/>
              <w:right w:val="single" w:sz="4" w:space="0" w:color="D6D3D1"/>
            </w:tcBorders>
          </w:tcPr>
          <w:p>
            <w:pPr>
              <w:spacing w:after="40" w:before="40" w:line="240" w:lineRule="auto"/>
              <w:jc w:val="left"/>
            </w:pPr>
            <w:r/>
            <w:r>
              <w:rPr>
                <w:rFonts w:ascii="Montserrat" w:hAnsi="Montserrat" w:eastAsia="Montserrat" w:cs="Montserrat"/>
                <w:b w:val="0"/>
                <w:i w:val="0"/>
                <w:sz w:val="20"/>
              </w:rPr>
              <w:t>Students supported</w:t>
            </w:r>
          </w:p>
        </w:tc>
        <w:tc>
          <w:tcPr>
            <w:tcW w:type="dxa" w:w="2889"/>
            <w:tcBorders>
              <w:top w:val="single" w:sz="4" w:space="0" w:color="D6D3D1"/>
              <w:left w:val="single" w:sz="4" w:space="0" w:color="D6D3D1"/>
              <w:bottom w:val="single" w:sz="4" w:space="0" w:color="D6D3D1"/>
              <w:right w:val="single" w:sz="4" w:space="0" w:color="D6D3D1"/>
            </w:tcBorders>
          </w:tcPr>
          <w:p>
            <w:pPr>
              <w:spacing w:after="40" w:before="40" w:line="240" w:lineRule="auto"/>
              <w:jc w:val="left"/>
            </w:pPr>
            <w:r/>
            <w:r>
              <w:rPr>
                <w:rFonts w:ascii="Montserrat" w:hAnsi="Montserrat" w:eastAsia="Montserrat" w:cs="Montserrat"/>
                <w:b w:val="0"/>
                <w:i w:val="0"/>
                <w:sz w:val="20"/>
              </w:rPr>
              <w:t>85+</w:t>
            </w:r>
          </w:p>
        </w:tc>
        <w:tc>
          <w:tcPr>
            <w:tcW w:type="dxa" w:w="2889"/>
            <w:tcBorders>
              <w:top w:val="single" w:sz="4" w:space="0" w:color="D6D3D1"/>
              <w:left w:val="single" w:sz="4" w:space="0" w:color="D6D3D1"/>
              <w:bottom w:val="single" w:sz="4" w:space="0" w:color="D6D3D1"/>
              <w:right w:val="single" w:sz="4" w:space="0" w:color="D6D3D1"/>
            </w:tcBorders>
          </w:tcPr>
          <w:p>
            <w:pPr>
              <w:spacing w:after="40" w:before="40" w:line="240" w:lineRule="auto"/>
              <w:jc w:val="left"/>
            </w:pPr>
            <w:r/>
            <w:r>
              <w:rPr>
                <w:rFonts w:ascii="Montserrat" w:hAnsi="Montserrat" w:eastAsia="Montserrat" w:cs="Montserrat"/>
                <w:b w:val="0"/>
                <w:i w:val="0"/>
                <w:sz w:val="20"/>
              </w:rPr>
              <w:t>ESL scholars</w:t>
            </w:r>
          </w:p>
        </w:tc>
      </w:tr>
      <w:tr>
        <w:tc>
          <w:tcPr>
            <w:tcW w:type="dxa" w:w="2889"/>
            <w:tcBorders>
              <w:top w:val="single" w:sz="4" w:space="0" w:color="D6D3D1"/>
              <w:left w:val="single" w:sz="4" w:space="0" w:color="D6D3D1"/>
              <w:bottom w:val="single" w:sz="4" w:space="0" w:color="D6D3D1"/>
              <w:right w:val="single" w:sz="4" w:space="0" w:color="D6D3D1"/>
            </w:tcBorders>
            <w:shd w:fill="F4F1EE" w:val="clear"/>
          </w:tcPr>
          <w:p>
            <w:pPr>
              <w:spacing w:after="40" w:before="40" w:line="240" w:lineRule="auto"/>
              <w:jc w:val="left"/>
            </w:pPr>
            <w:r/>
            <w:r>
              <w:rPr>
                <w:rFonts w:ascii="Montserrat" w:hAnsi="Montserrat" w:eastAsia="Montserrat" w:cs="Montserrat"/>
                <w:b w:val="0"/>
                <w:i w:val="0"/>
                <w:sz w:val="20"/>
              </w:rPr>
              <w:t>Product identity</w:t>
            </w:r>
          </w:p>
        </w:tc>
        <w:tc>
          <w:tcPr>
            <w:tcW w:type="dxa" w:w="2889"/>
            <w:tcBorders>
              <w:top w:val="single" w:sz="4" w:space="0" w:color="D6D3D1"/>
              <w:left w:val="single" w:sz="4" w:space="0" w:color="D6D3D1"/>
              <w:bottom w:val="single" w:sz="4" w:space="0" w:color="D6D3D1"/>
              <w:right w:val="single" w:sz="4" w:space="0" w:color="D6D3D1"/>
            </w:tcBorders>
            <w:shd w:fill="F4F1EE" w:val="clear"/>
          </w:tcPr>
          <w:p>
            <w:pPr>
              <w:spacing w:after="40" w:before="40" w:line="240" w:lineRule="auto"/>
              <w:jc w:val="left"/>
            </w:pPr>
            <w:r/>
            <w:r>
              <w:rPr>
                <w:rFonts w:ascii="Montserrat" w:hAnsi="Montserrat" w:eastAsia="Montserrat" w:cs="Montserrat"/>
                <w:b w:val="0"/>
                <w:i w:val="0"/>
                <w:sz w:val="20"/>
              </w:rPr>
              <w:t>The Mentor Hub — an AI-powered Mentorship Dashboard</w:t>
            </w:r>
          </w:p>
        </w:tc>
        <w:tc>
          <w:tcPr>
            <w:tcW w:type="dxa" w:w="2889"/>
            <w:tcBorders>
              <w:top w:val="single" w:sz="4" w:space="0" w:color="D6D3D1"/>
              <w:left w:val="single" w:sz="4" w:space="0" w:color="D6D3D1"/>
              <w:bottom w:val="single" w:sz="4" w:space="0" w:color="D6D3D1"/>
              <w:right w:val="single" w:sz="4" w:space="0" w:color="D6D3D1"/>
            </w:tcBorders>
            <w:shd w:fill="F4F1EE" w:val="clear"/>
          </w:tcPr>
          <w:p>
            <w:pPr>
              <w:spacing w:after="40" w:before="40" w:line="240" w:lineRule="auto"/>
              <w:jc w:val="left"/>
            </w:pPr>
            <w:r/>
            <w:r>
              <w:rPr>
                <w:rFonts w:ascii="Montserrat" w:hAnsi="Montserrat" w:eastAsia="Montserrat" w:cs="Montserrat"/>
                <w:b w:val="0"/>
                <w:i w:val="0"/>
                <w:sz w:val="20"/>
              </w:rPr>
              <w:t>OS for ESL</w:t>
            </w:r>
          </w:p>
        </w:tc>
      </w:tr>
      <w:tr>
        <w:tc>
          <w:tcPr>
            <w:tcW w:type="dxa" w:w="2889"/>
            <w:tcBorders>
              <w:top w:val="single" w:sz="4" w:space="0" w:color="D6D3D1"/>
              <w:left w:val="single" w:sz="4" w:space="0" w:color="D6D3D1"/>
              <w:bottom w:val="single" w:sz="4" w:space="0" w:color="D6D3D1"/>
              <w:right w:val="single" w:sz="4" w:space="0" w:color="D6D3D1"/>
            </w:tcBorders>
          </w:tcPr>
          <w:p>
            <w:pPr>
              <w:spacing w:after="40" w:before="40" w:line="240" w:lineRule="auto"/>
              <w:jc w:val="left"/>
            </w:pPr>
            <w:r/>
            <w:r>
              <w:rPr>
                <w:rFonts w:ascii="Montserrat" w:hAnsi="Montserrat" w:eastAsia="Montserrat" w:cs="Montserrat"/>
                <w:b w:val="0"/>
                <w:i w:val="0"/>
                <w:sz w:val="20"/>
              </w:rPr>
              <w:t>Scholarships and grants</w:t>
            </w:r>
          </w:p>
        </w:tc>
        <w:tc>
          <w:tcPr>
            <w:tcW w:type="dxa" w:w="2889"/>
            <w:tcBorders>
              <w:top w:val="single" w:sz="4" w:space="0" w:color="D6D3D1"/>
              <w:left w:val="single" w:sz="4" w:space="0" w:color="D6D3D1"/>
              <w:bottom w:val="single" w:sz="4" w:space="0" w:color="D6D3D1"/>
              <w:right w:val="single" w:sz="4" w:space="0" w:color="D6D3D1"/>
            </w:tcBorders>
          </w:tcPr>
          <w:p>
            <w:pPr>
              <w:spacing w:after="40" w:before="40" w:line="240" w:lineRule="auto"/>
              <w:jc w:val="left"/>
            </w:pPr>
            <w:r/>
            <w:r>
              <w:rPr>
                <w:rFonts w:ascii="Montserrat" w:hAnsi="Montserrat" w:eastAsia="Montserrat" w:cs="Montserrat"/>
                <w:b w:val="0"/>
                <w:i w:val="0"/>
                <w:sz w:val="20"/>
              </w:rPr>
              <w:t>$158,000+</w:t>
            </w:r>
          </w:p>
        </w:tc>
        <w:tc>
          <w:tcPr>
            <w:tcW w:type="dxa" w:w="2889"/>
            <w:tcBorders>
              <w:top w:val="single" w:sz="4" w:space="0" w:color="D6D3D1"/>
              <w:left w:val="single" w:sz="4" w:space="0" w:color="D6D3D1"/>
              <w:bottom w:val="single" w:sz="4" w:space="0" w:color="D6D3D1"/>
              <w:right w:val="single" w:sz="4" w:space="0" w:color="D6D3D1"/>
            </w:tcBorders>
          </w:tcPr>
          <w:p>
            <w:pPr>
              <w:spacing w:after="40" w:before="40" w:line="240" w:lineRule="auto"/>
              <w:jc w:val="left"/>
            </w:pPr>
            <w:r/>
            <w:r>
              <w:rPr>
                <w:rFonts w:ascii="Montserrat" w:hAnsi="Montserrat" w:eastAsia="Montserrat" w:cs="Montserrat"/>
                <w:b w:val="0"/>
                <w:i w:val="0"/>
                <w:sz w:val="20"/>
              </w:rPr>
              <w:t>Secured by scholars</w:t>
            </w:r>
          </w:p>
        </w:tc>
      </w:tr>
      <w:tr>
        <w:tc>
          <w:tcPr>
            <w:tcW w:type="dxa" w:w="2889"/>
            <w:tcBorders>
              <w:top w:val="single" w:sz="4" w:space="0" w:color="D6D3D1"/>
              <w:left w:val="single" w:sz="4" w:space="0" w:color="D6D3D1"/>
              <w:bottom w:val="single" w:sz="4" w:space="0" w:color="D6D3D1"/>
              <w:right w:val="single" w:sz="4" w:space="0" w:color="D6D3D1"/>
            </w:tcBorders>
            <w:shd w:fill="F4F1EE" w:val="clear"/>
          </w:tcPr>
          <w:p>
            <w:pPr>
              <w:spacing w:after="40" w:before="40" w:line="240" w:lineRule="auto"/>
              <w:jc w:val="left"/>
            </w:pPr>
            <w:r/>
            <w:r>
              <w:rPr>
                <w:rFonts w:ascii="Montserrat" w:hAnsi="Montserrat" w:eastAsia="Montserrat" w:cs="Montserrat"/>
                <w:b w:val="0"/>
                <w:i w:val="0"/>
                <w:sz w:val="20"/>
              </w:rPr>
              <w:t>Interview confidence</w:t>
            </w:r>
          </w:p>
        </w:tc>
        <w:tc>
          <w:tcPr>
            <w:tcW w:type="dxa" w:w="2889"/>
            <w:tcBorders>
              <w:top w:val="single" w:sz="4" w:space="0" w:color="D6D3D1"/>
              <w:left w:val="single" w:sz="4" w:space="0" w:color="D6D3D1"/>
              <w:bottom w:val="single" w:sz="4" w:space="0" w:color="D6D3D1"/>
              <w:right w:val="single" w:sz="4" w:space="0" w:color="D6D3D1"/>
            </w:tcBorders>
            <w:shd w:fill="F4F1EE" w:val="clear"/>
          </w:tcPr>
          <w:p>
            <w:pPr>
              <w:spacing w:after="40" w:before="40" w:line="240" w:lineRule="auto"/>
              <w:jc w:val="left"/>
            </w:pPr>
            <w:r/>
            <w:r>
              <w:rPr>
                <w:rFonts w:ascii="Montserrat" w:hAnsi="Montserrat" w:eastAsia="Montserrat" w:cs="Montserrat"/>
                <w:b w:val="0"/>
                <w:i w:val="0"/>
                <w:sz w:val="20"/>
              </w:rPr>
              <w:t>100% post-mentorship</w:t>
            </w:r>
          </w:p>
        </w:tc>
        <w:tc>
          <w:tcPr>
            <w:tcW w:type="dxa" w:w="2889"/>
            <w:tcBorders>
              <w:top w:val="single" w:sz="4" w:space="0" w:color="D6D3D1"/>
              <w:left w:val="single" w:sz="4" w:space="0" w:color="D6D3D1"/>
              <w:bottom w:val="single" w:sz="4" w:space="0" w:color="D6D3D1"/>
              <w:right w:val="single" w:sz="4" w:space="0" w:color="D6D3D1"/>
            </w:tcBorders>
            <w:shd w:fill="F4F1EE" w:val="clear"/>
          </w:tcPr>
          <w:p>
            <w:pPr>
              <w:spacing w:after="40" w:before="40" w:line="240" w:lineRule="auto"/>
              <w:jc w:val="left"/>
            </w:pPr>
            <w:r/>
            <w:r>
              <w:rPr>
                <w:rFonts w:ascii="Montserrat" w:hAnsi="Montserrat" w:eastAsia="Montserrat" w:cs="Montserrat"/>
                <w:b w:val="0"/>
                <w:i w:val="0"/>
                <w:sz w:val="20"/>
              </w:rPr>
              <w:t>Adjacent programme-quality pulse</w:t>
            </w:r>
          </w:p>
        </w:tc>
      </w:tr>
      <w:tr>
        <w:tc>
          <w:tcPr>
            <w:tcW w:type="dxa" w:w="2889"/>
            <w:tcBorders>
              <w:top w:val="single" w:sz="4" w:space="0" w:color="D6D3D1"/>
              <w:left w:val="single" w:sz="4" w:space="0" w:color="D6D3D1"/>
              <w:bottom w:val="single" w:sz="4" w:space="0" w:color="D6D3D1"/>
              <w:right w:val="single" w:sz="4" w:space="0" w:color="D6D3D1"/>
            </w:tcBorders>
          </w:tcPr>
          <w:p>
            <w:pPr>
              <w:spacing w:after="40" w:before="40" w:line="240" w:lineRule="auto"/>
              <w:jc w:val="left"/>
            </w:pPr>
            <w:r/>
            <w:r>
              <w:rPr>
                <w:rFonts w:ascii="Montserrat" w:hAnsi="Montserrat" w:eastAsia="Montserrat" w:cs="Montserrat"/>
                <w:b w:val="0"/>
                <w:i w:val="0"/>
                <w:sz w:val="20"/>
              </w:rPr>
              <w:t>Leadership / service readiness</w:t>
            </w:r>
          </w:p>
        </w:tc>
        <w:tc>
          <w:tcPr>
            <w:tcW w:type="dxa" w:w="2889"/>
            <w:tcBorders>
              <w:top w:val="single" w:sz="4" w:space="0" w:color="D6D3D1"/>
              <w:left w:val="single" w:sz="4" w:space="0" w:color="D6D3D1"/>
              <w:bottom w:val="single" w:sz="4" w:space="0" w:color="D6D3D1"/>
              <w:right w:val="single" w:sz="4" w:space="0" w:color="D6D3D1"/>
            </w:tcBorders>
          </w:tcPr>
          <w:p>
            <w:pPr>
              <w:spacing w:after="40" w:before="40" w:line="240" w:lineRule="auto"/>
              <w:jc w:val="left"/>
            </w:pPr>
            <w:r/>
            <w:r>
              <w:rPr>
                <w:rFonts w:ascii="Montserrat" w:hAnsi="Montserrat" w:eastAsia="Montserrat" w:cs="Montserrat"/>
                <w:b w:val="0"/>
                <w:i w:val="0"/>
                <w:sz w:val="20"/>
              </w:rPr>
              <w:t>88%</w:t>
            </w:r>
          </w:p>
        </w:tc>
        <w:tc>
          <w:tcPr>
            <w:tcW w:type="dxa" w:w="2889"/>
            <w:tcBorders>
              <w:top w:val="single" w:sz="4" w:space="0" w:color="D6D3D1"/>
              <w:left w:val="single" w:sz="4" w:space="0" w:color="D6D3D1"/>
              <w:bottom w:val="single" w:sz="4" w:space="0" w:color="D6D3D1"/>
              <w:right w:val="single" w:sz="4" w:space="0" w:color="D6D3D1"/>
            </w:tcBorders>
          </w:tcPr>
          <w:p>
            <w:pPr>
              <w:spacing w:after="40" w:before="40" w:line="240" w:lineRule="auto"/>
              <w:jc w:val="left"/>
            </w:pPr>
            <w:r/>
            <w:r>
              <w:rPr>
                <w:rFonts w:ascii="Montserrat" w:hAnsi="Montserrat" w:eastAsia="Montserrat" w:cs="Montserrat"/>
                <w:b w:val="0"/>
                <w:i w:val="0"/>
                <w:sz w:val="20"/>
              </w:rPr>
              <w:t>Adjacent programme-quality pulse</w:t>
            </w:r>
          </w:p>
        </w:tc>
      </w:tr>
    </w:tbl>
    <w:p/>
    <w:p>
      <w:pPr>
        <w:spacing w:after="160" w:before="0" w:line="360" w:lineRule="auto"/>
        <w:jc w:val="both"/>
      </w:pPr>
      <w:r>
        <w:rPr>
          <w:rFonts w:ascii="Montserrat" w:hAnsi="Montserrat" w:eastAsia="Montserrat" w:cs="Montserrat"/>
          <w:b w:val="0"/>
          <w:i w:val="0"/>
          <w:sz w:val="22"/>
        </w:rPr>
        <w:t>These figures are SimpleJoint / ESL programme and platform inventory. They are not synthetic model AUC and they are not claimed as effects of the Capstone MVP (SimpleJoint Trust, 2026a, 2026d).</w:t>
      </w:r>
    </w:p>
    <w:p>
      <w:pPr>
        <w:spacing w:after="80" w:before="160" w:line="276" w:lineRule="auto"/>
        <w:jc w:val="left"/>
      </w:pPr>
      <w:r>
        <w:rPr>
          <w:rFonts w:ascii="Montserrat" w:hAnsi="Montserrat" w:eastAsia="Montserrat" w:cs="Montserrat"/>
          <w:b w:val="0"/>
          <w:i/>
          <w:color w:val="0D1B2A"/>
          <w:sz w:val="22"/>
        </w:rPr>
        <w:t>Sample-cohort model KPIs</w:t>
      </w:r>
    </w:p>
    <w:tbl>
      <w:tblPr>
        <w:tblW w:type="auto" w:w="0"/>
        <w:jc w:val="center"/>
        <w:tblLayout w:type="autofit"/>
        <w:tblLook w:firstColumn="1" w:firstRow="1" w:lastColumn="0" w:lastRow="0" w:noHBand="0" w:noVBand="1" w:val="04A0"/>
      </w:tblPr>
      <w:tblGrid>
        <w:gridCol w:w="1733"/>
        <w:gridCol w:w="1733"/>
        <w:gridCol w:w="1733"/>
        <w:gridCol w:w="1733"/>
        <w:gridCol w:w="1733"/>
      </w:tblGrid>
      <w:tr>
        <w:tc>
          <w:tcPr>
            <w:tcW w:type="dxa" w:w="1733"/>
            <w:tcBorders>
              <w:top w:val="single" w:sz="4" w:space="0" w:color="D6D3D1"/>
              <w:left w:val="single" w:sz="4" w:space="0" w:color="D6D3D1"/>
              <w:bottom w:val="single" w:sz="4" w:space="0" w:color="D6D3D1"/>
              <w:right w:val="single" w:sz="4" w:space="0" w:color="D6D3D1"/>
            </w:tcBorders>
            <w:shd w:fill="0D1B2A" w:val="clear"/>
          </w:tcPr>
          <w:p>
            <w:pPr>
              <w:spacing w:after="40" w:before="40" w:line="240" w:lineRule="auto"/>
              <w:jc w:val="left"/>
            </w:pPr>
            <w:r>
              <w:rPr>
                <w:color w:val="FFFFFF"/>
              </w:rPr>
            </w:r>
            <w:r>
              <w:rPr>
                <w:rFonts w:ascii="Montserrat" w:hAnsi="Montserrat" w:eastAsia="Montserrat" w:cs="Montserrat"/>
                <w:b/>
                <w:i w:val="0"/>
                <w:color w:val="FFFFFF"/>
                <w:sz w:val="20"/>
              </w:rPr>
              <w:t>Module</w:t>
            </w:r>
          </w:p>
        </w:tc>
        <w:tc>
          <w:tcPr>
            <w:tcW w:type="dxa" w:w="1733"/>
            <w:tcBorders>
              <w:top w:val="single" w:sz="4" w:space="0" w:color="D6D3D1"/>
              <w:left w:val="single" w:sz="4" w:space="0" w:color="D6D3D1"/>
              <w:bottom w:val="single" w:sz="4" w:space="0" w:color="D6D3D1"/>
              <w:right w:val="single" w:sz="4" w:space="0" w:color="D6D3D1"/>
            </w:tcBorders>
            <w:shd w:fill="0D1B2A" w:val="clear"/>
          </w:tcPr>
          <w:p>
            <w:pPr>
              <w:spacing w:after="40" w:before="40" w:line="240" w:lineRule="auto"/>
              <w:jc w:val="left"/>
            </w:pPr>
            <w:r>
              <w:rPr>
                <w:color w:val="FFFFFF"/>
              </w:rPr>
            </w:r>
            <w:r>
              <w:rPr>
                <w:rFonts w:ascii="Montserrat" w:hAnsi="Montserrat" w:eastAsia="Montserrat" w:cs="Montserrat"/>
                <w:b/>
                <w:i w:val="0"/>
                <w:color w:val="FFFFFF"/>
                <w:sz w:val="20"/>
              </w:rPr>
              <w:t>Metric</w:t>
            </w:r>
          </w:p>
        </w:tc>
        <w:tc>
          <w:tcPr>
            <w:tcW w:type="dxa" w:w="1733"/>
            <w:tcBorders>
              <w:top w:val="single" w:sz="4" w:space="0" w:color="D6D3D1"/>
              <w:left w:val="single" w:sz="4" w:space="0" w:color="D6D3D1"/>
              <w:bottom w:val="single" w:sz="4" w:space="0" w:color="D6D3D1"/>
              <w:right w:val="single" w:sz="4" w:space="0" w:color="D6D3D1"/>
            </w:tcBorders>
            <w:shd w:fill="0D1B2A" w:val="clear"/>
          </w:tcPr>
          <w:p>
            <w:pPr>
              <w:spacing w:after="40" w:before="40" w:line="240" w:lineRule="auto"/>
              <w:jc w:val="left"/>
            </w:pPr>
            <w:r>
              <w:rPr>
                <w:color w:val="FFFFFF"/>
              </w:rPr>
            </w:r>
            <w:r>
              <w:rPr>
                <w:rFonts w:ascii="Montserrat" w:hAnsi="Montserrat" w:eastAsia="Montserrat" w:cs="Montserrat"/>
                <w:b/>
                <w:i w:val="0"/>
                <w:color w:val="FFFFFF"/>
                <w:sz w:val="20"/>
              </w:rPr>
              <w:t>Result</w:t>
            </w:r>
          </w:p>
        </w:tc>
        <w:tc>
          <w:tcPr>
            <w:tcW w:type="dxa" w:w="1733"/>
            <w:tcBorders>
              <w:top w:val="single" w:sz="4" w:space="0" w:color="D6D3D1"/>
              <w:left w:val="single" w:sz="4" w:space="0" w:color="D6D3D1"/>
              <w:bottom w:val="single" w:sz="4" w:space="0" w:color="D6D3D1"/>
              <w:right w:val="single" w:sz="4" w:space="0" w:color="D6D3D1"/>
            </w:tcBorders>
            <w:shd w:fill="0D1B2A" w:val="clear"/>
          </w:tcPr>
          <w:p>
            <w:pPr>
              <w:spacing w:after="40" w:before="40" w:line="240" w:lineRule="auto"/>
              <w:jc w:val="left"/>
            </w:pPr>
            <w:r>
              <w:rPr>
                <w:color w:val="FFFFFF"/>
              </w:rPr>
            </w:r>
            <w:r>
              <w:rPr>
                <w:rFonts w:ascii="Montserrat" w:hAnsi="Montserrat" w:eastAsia="Montserrat" w:cs="Montserrat"/>
                <w:b/>
                <w:i w:val="0"/>
                <w:color w:val="FFFFFF"/>
                <w:sz w:val="20"/>
              </w:rPr>
              <w:t>Target</w:t>
            </w:r>
          </w:p>
        </w:tc>
        <w:tc>
          <w:tcPr>
            <w:tcW w:type="dxa" w:w="1733"/>
            <w:tcBorders>
              <w:top w:val="single" w:sz="4" w:space="0" w:color="D6D3D1"/>
              <w:left w:val="single" w:sz="4" w:space="0" w:color="D6D3D1"/>
              <w:bottom w:val="single" w:sz="4" w:space="0" w:color="D6D3D1"/>
              <w:right w:val="single" w:sz="4" w:space="0" w:color="D6D3D1"/>
            </w:tcBorders>
            <w:shd w:fill="0D1B2A" w:val="clear"/>
          </w:tcPr>
          <w:p>
            <w:pPr>
              <w:spacing w:after="40" w:before="40" w:line="240" w:lineRule="auto"/>
              <w:jc w:val="left"/>
            </w:pPr>
            <w:r>
              <w:rPr>
                <w:color w:val="FFFFFF"/>
              </w:rPr>
            </w:r>
            <w:r>
              <w:rPr>
                <w:rFonts w:ascii="Montserrat" w:hAnsi="Montserrat" w:eastAsia="Montserrat" w:cs="Montserrat"/>
                <w:b/>
                <w:i w:val="0"/>
                <w:color w:val="FFFFFF"/>
                <w:sz w:val="20"/>
              </w:rPr>
              <w:t>Status</w:t>
            </w:r>
          </w:p>
        </w:tc>
      </w:tr>
      <w:tr>
        <w:tc>
          <w:tcPr>
            <w:tcW w:type="dxa" w:w="1733"/>
            <w:tcBorders>
              <w:top w:val="single" w:sz="4" w:space="0" w:color="D6D3D1"/>
              <w:left w:val="single" w:sz="4" w:space="0" w:color="D6D3D1"/>
              <w:bottom w:val="single" w:sz="4" w:space="0" w:color="D6D3D1"/>
              <w:right w:val="single" w:sz="4" w:space="0" w:color="D6D3D1"/>
            </w:tcBorders>
          </w:tcPr>
          <w:p>
            <w:pPr>
              <w:spacing w:after="40" w:before="40" w:line="240" w:lineRule="auto"/>
              <w:jc w:val="left"/>
            </w:pPr>
            <w:r/>
            <w:r>
              <w:rPr>
                <w:rFonts w:ascii="Montserrat" w:hAnsi="Montserrat" w:eastAsia="Montserrat" w:cs="Montserrat"/>
                <w:b w:val="0"/>
                <w:i w:val="0"/>
                <w:sz w:val="20"/>
              </w:rPr>
              <w:t>Opportunity ranking</w:t>
            </w:r>
          </w:p>
        </w:tc>
        <w:tc>
          <w:tcPr>
            <w:tcW w:type="dxa" w:w="1733"/>
            <w:tcBorders>
              <w:top w:val="single" w:sz="4" w:space="0" w:color="D6D3D1"/>
              <w:left w:val="single" w:sz="4" w:space="0" w:color="D6D3D1"/>
              <w:bottom w:val="single" w:sz="4" w:space="0" w:color="D6D3D1"/>
              <w:right w:val="single" w:sz="4" w:space="0" w:color="D6D3D1"/>
            </w:tcBorders>
          </w:tcPr>
          <w:p>
            <w:pPr>
              <w:spacing w:after="40" w:before="40" w:line="240" w:lineRule="auto"/>
              <w:jc w:val="left"/>
            </w:pPr>
            <w:r/>
            <w:r>
              <w:rPr>
                <w:rFonts w:ascii="Montserrat" w:hAnsi="Montserrat" w:eastAsia="Montserrat" w:cs="Montserrat"/>
                <w:b w:val="0"/>
                <w:i w:val="0"/>
                <w:sz w:val="20"/>
              </w:rPr>
              <w:t>Precision@5</w:t>
            </w:r>
          </w:p>
        </w:tc>
        <w:tc>
          <w:tcPr>
            <w:tcW w:type="dxa" w:w="1733"/>
            <w:tcBorders>
              <w:top w:val="single" w:sz="4" w:space="0" w:color="D6D3D1"/>
              <w:left w:val="single" w:sz="4" w:space="0" w:color="D6D3D1"/>
              <w:bottom w:val="single" w:sz="4" w:space="0" w:color="D6D3D1"/>
              <w:right w:val="single" w:sz="4" w:space="0" w:color="D6D3D1"/>
            </w:tcBorders>
          </w:tcPr>
          <w:p>
            <w:pPr>
              <w:spacing w:after="40" w:before="40" w:line="240" w:lineRule="auto"/>
              <w:jc w:val="left"/>
            </w:pPr>
            <w:r/>
            <w:r>
              <w:rPr>
                <w:rFonts w:ascii="Montserrat" w:hAnsi="Montserrat" w:eastAsia="Montserrat" w:cs="Montserrat"/>
                <w:b w:val="0"/>
                <w:i w:val="0"/>
                <w:sz w:val="20"/>
              </w:rPr>
              <w:t>0.8583</w:t>
            </w:r>
          </w:p>
        </w:tc>
        <w:tc>
          <w:tcPr>
            <w:tcW w:type="dxa" w:w="1733"/>
            <w:tcBorders>
              <w:top w:val="single" w:sz="4" w:space="0" w:color="D6D3D1"/>
              <w:left w:val="single" w:sz="4" w:space="0" w:color="D6D3D1"/>
              <w:bottom w:val="single" w:sz="4" w:space="0" w:color="D6D3D1"/>
              <w:right w:val="single" w:sz="4" w:space="0" w:color="D6D3D1"/>
            </w:tcBorders>
          </w:tcPr>
          <w:p>
            <w:pPr>
              <w:spacing w:after="40" w:before="40" w:line="240" w:lineRule="auto"/>
              <w:jc w:val="left"/>
            </w:pPr>
            <w:r/>
            <w:r>
              <w:rPr>
                <w:rFonts w:ascii="Montserrat" w:hAnsi="Montserrat" w:eastAsia="Montserrat" w:cs="Montserrat"/>
                <w:b w:val="0"/>
                <w:i w:val="0"/>
                <w:sz w:val="20"/>
              </w:rPr>
              <w:t>≥ 0.75</w:t>
            </w:r>
          </w:p>
        </w:tc>
        <w:tc>
          <w:tcPr>
            <w:tcW w:type="dxa" w:w="1733"/>
            <w:tcBorders>
              <w:top w:val="single" w:sz="4" w:space="0" w:color="D6D3D1"/>
              <w:left w:val="single" w:sz="4" w:space="0" w:color="D6D3D1"/>
              <w:bottom w:val="single" w:sz="4" w:space="0" w:color="D6D3D1"/>
              <w:right w:val="single" w:sz="4" w:space="0" w:color="D6D3D1"/>
            </w:tcBorders>
          </w:tcPr>
          <w:p>
            <w:pPr>
              <w:spacing w:after="40" w:before="40" w:line="240" w:lineRule="auto"/>
              <w:jc w:val="left"/>
            </w:pPr>
            <w:r/>
            <w:r>
              <w:rPr>
                <w:rFonts w:ascii="Montserrat" w:hAnsi="Montserrat" w:eastAsia="Montserrat" w:cs="Montserrat"/>
                <w:b w:val="0"/>
                <w:i w:val="0"/>
                <w:sz w:val="20"/>
              </w:rPr>
              <w:t>Met</w:t>
            </w:r>
          </w:p>
        </w:tc>
      </w:tr>
      <w:tr>
        <w:tc>
          <w:tcPr>
            <w:tcW w:type="dxa" w:w="1733"/>
            <w:tcBorders>
              <w:top w:val="single" w:sz="4" w:space="0" w:color="D6D3D1"/>
              <w:left w:val="single" w:sz="4" w:space="0" w:color="D6D3D1"/>
              <w:bottom w:val="single" w:sz="4" w:space="0" w:color="D6D3D1"/>
              <w:right w:val="single" w:sz="4" w:space="0" w:color="D6D3D1"/>
            </w:tcBorders>
            <w:shd w:fill="F4F1EE" w:val="clear"/>
          </w:tcPr>
          <w:p>
            <w:pPr>
              <w:spacing w:after="40" w:before="40" w:line="240" w:lineRule="auto"/>
              <w:jc w:val="left"/>
            </w:pPr>
            <w:r/>
            <w:r>
              <w:rPr>
                <w:rFonts w:ascii="Montserrat" w:hAnsi="Montserrat" w:eastAsia="Montserrat" w:cs="Montserrat"/>
                <w:b w:val="0"/>
                <w:i w:val="0"/>
                <w:sz w:val="20"/>
              </w:rPr>
              <w:t>Mentor assignment</w:t>
            </w:r>
          </w:p>
        </w:tc>
        <w:tc>
          <w:tcPr>
            <w:tcW w:type="dxa" w:w="1733"/>
            <w:tcBorders>
              <w:top w:val="single" w:sz="4" w:space="0" w:color="D6D3D1"/>
              <w:left w:val="single" w:sz="4" w:space="0" w:color="D6D3D1"/>
              <w:bottom w:val="single" w:sz="4" w:space="0" w:color="D6D3D1"/>
              <w:right w:val="single" w:sz="4" w:space="0" w:color="D6D3D1"/>
            </w:tcBorders>
            <w:shd w:fill="F4F1EE" w:val="clear"/>
          </w:tcPr>
          <w:p>
            <w:pPr>
              <w:spacing w:after="40" w:before="40" w:line="240" w:lineRule="auto"/>
              <w:jc w:val="left"/>
            </w:pPr>
            <w:r/>
            <w:r>
              <w:rPr>
                <w:rFonts w:ascii="Montserrat" w:hAnsi="Montserrat" w:eastAsia="Montserrat" w:cs="Montserrat"/>
                <w:b w:val="0"/>
                <w:i w:val="0"/>
                <w:sz w:val="20"/>
              </w:rPr>
              <w:t>F1</w:t>
            </w:r>
          </w:p>
        </w:tc>
        <w:tc>
          <w:tcPr>
            <w:tcW w:type="dxa" w:w="1733"/>
            <w:tcBorders>
              <w:top w:val="single" w:sz="4" w:space="0" w:color="D6D3D1"/>
              <w:left w:val="single" w:sz="4" w:space="0" w:color="D6D3D1"/>
              <w:bottom w:val="single" w:sz="4" w:space="0" w:color="D6D3D1"/>
              <w:right w:val="single" w:sz="4" w:space="0" w:color="D6D3D1"/>
            </w:tcBorders>
            <w:shd w:fill="F4F1EE" w:val="clear"/>
          </w:tcPr>
          <w:p>
            <w:pPr>
              <w:spacing w:after="40" w:before="40" w:line="240" w:lineRule="auto"/>
              <w:jc w:val="left"/>
            </w:pPr>
            <w:r/>
            <w:r>
              <w:rPr>
                <w:rFonts w:ascii="Montserrat" w:hAnsi="Montserrat" w:eastAsia="Montserrat" w:cs="Montserrat"/>
                <w:b w:val="0"/>
                <w:i w:val="0"/>
                <w:sz w:val="20"/>
              </w:rPr>
              <w:t>0.7778</w:t>
            </w:r>
          </w:p>
        </w:tc>
        <w:tc>
          <w:tcPr>
            <w:tcW w:type="dxa" w:w="1733"/>
            <w:tcBorders>
              <w:top w:val="single" w:sz="4" w:space="0" w:color="D6D3D1"/>
              <w:left w:val="single" w:sz="4" w:space="0" w:color="D6D3D1"/>
              <w:bottom w:val="single" w:sz="4" w:space="0" w:color="D6D3D1"/>
              <w:right w:val="single" w:sz="4" w:space="0" w:color="D6D3D1"/>
            </w:tcBorders>
            <w:shd w:fill="F4F1EE" w:val="clear"/>
          </w:tcPr>
          <w:p>
            <w:pPr>
              <w:spacing w:after="40" w:before="40" w:line="240" w:lineRule="auto"/>
              <w:jc w:val="left"/>
            </w:pPr>
            <w:r/>
            <w:r>
              <w:rPr>
                <w:rFonts w:ascii="Montserrat" w:hAnsi="Montserrat" w:eastAsia="Montserrat" w:cs="Montserrat"/>
                <w:b w:val="0"/>
                <w:i w:val="0"/>
                <w:sz w:val="20"/>
              </w:rPr>
              <w:t>≥ 0.70</w:t>
            </w:r>
          </w:p>
        </w:tc>
        <w:tc>
          <w:tcPr>
            <w:tcW w:type="dxa" w:w="1733"/>
            <w:tcBorders>
              <w:top w:val="single" w:sz="4" w:space="0" w:color="D6D3D1"/>
              <w:left w:val="single" w:sz="4" w:space="0" w:color="D6D3D1"/>
              <w:bottom w:val="single" w:sz="4" w:space="0" w:color="D6D3D1"/>
              <w:right w:val="single" w:sz="4" w:space="0" w:color="D6D3D1"/>
            </w:tcBorders>
            <w:shd w:fill="F4F1EE" w:val="clear"/>
          </w:tcPr>
          <w:p>
            <w:pPr>
              <w:spacing w:after="40" w:before="40" w:line="240" w:lineRule="auto"/>
              <w:jc w:val="left"/>
            </w:pPr>
            <w:r/>
            <w:r>
              <w:rPr>
                <w:rFonts w:ascii="Montserrat" w:hAnsi="Montserrat" w:eastAsia="Montserrat" w:cs="Montserrat"/>
                <w:b w:val="0"/>
                <w:i w:val="0"/>
                <w:sz w:val="20"/>
              </w:rPr>
              <w:t>Met</w:t>
            </w:r>
          </w:p>
        </w:tc>
      </w:tr>
      <w:tr>
        <w:tc>
          <w:tcPr>
            <w:tcW w:type="dxa" w:w="1733"/>
            <w:tcBorders>
              <w:top w:val="single" w:sz="4" w:space="0" w:color="D6D3D1"/>
              <w:left w:val="single" w:sz="4" w:space="0" w:color="D6D3D1"/>
              <w:bottom w:val="single" w:sz="4" w:space="0" w:color="D6D3D1"/>
              <w:right w:val="single" w:sz="4" w:space="0" w:color="D6D3D1"/>
            </w:tcBorders>
          </w:tcPr>
          <w:p>
            <w:pPr>
              <w:spacing w:after="40" w:before="40" w:line="240" w:lineRule="auto"/>
              <w:jc w:val="left"/>
            </w:pPr>
            <w:r/>
            <w:r>
              <w:rPr>
                <w:rFonts w:ascii="Montserrat" w:hAnsi="Montserrat" w:eastAsia="Montserrat" w:cs="Montserrat"/>
                <w:b w:val="0"/>
                <w:i w:val="0"/>
                <w:sz w:val="20"/>
              </w:rPr>
              <w:t>NLP / explanation</w:t>
            </w:r>
          </w:p>
        </w:tc>
        <w:tc>
          <w:tcPr>
            <w:tcW w:type="dxa" w:w="1733"/>
            <w:tcBorders>
              <w:top w:val="single" w:sz="4" w:space="0" w:color="D6D3D1"/>
              <w:left w:val="single" w:sz="4" w:space="0" w:color="D6D3D1"/>
              <w:bottom w:val="single" w:sz="4" w:space="0" w:color="D6D3D1"/>
              <w:right w:val="single" w:sz="4" w:space="0" w:color="D6D3D1"/>
            </w:tcBorders>
          </w:tcPr>
          <w:p>
            <w:pPr>
              <w:spacing w:after="40" w:before="40" w:line="240" w:lineRule="auto"/>
              <w:jc w:val="left"/>
            </w:pPr>
            <w:r/>
            <w:r>
              <w:rPr>
                <w:rFonts w:ascii="Montserrat" w:hAnsi="Montserrat" w:eastAsia="Montserrat" w:cs="Montserrat"/>
                <w:b w:val="0"/>
                <w:i w:val="0"/>
                <w:sz w:val="20"/>
              </w:rPr>
              <w:t>Recall</w:t>
            </w:r>
          </w:p>
        </w:tc>
        <w:tc>
          <w:tcPr>
            <w:tcW w:type="dxa" w:w="1733"/>
            <w:tcBorders>
              <w:top w:val="single" w:sz="4" w:space="0" w:color="D6D3D1"/>
              <w:left w:val="single" w:sz="4" w:space="0" w:color="D6D3D1"/>
              <w:bottom w:val="single" w:sz="4" w:space="0" w:color="D6D3D1"/>
              <w:right w:val="single" w:sz="4" w:space="0" w:color="D6D3D1"/>
            </w:tcBorders>
          </w:tcPr>
          <w:p>
            <w:pPr>
              <w:spacing w:after="40" w:before="40" w:line="240" w:lineRule="auto"/>
              <w:jc w:val="left"/>
            </w:pPr>
            <w:r/>
            <w:r>
              <w:rPr>
                <w:rFonts w:ascii="Montserrat" w:hAnsi="Montserrat" w:eastAsia="Montserrat" w:cs="Montserrat"/>
                <w:b w:val="0"/>
                <w:i w:val="0"/>
                <w:sz w:val="20"/>
              </w:rPr>
              <w:t>0.85</w:t>
            </w:r>
          </w:p>
        </w:tc>
        <w:tc>
          <w:tcPr>
            <w:tcW w:type="dxa" w:w="1733"/>
            <w:tcBorders>
              <w:top w:val="single" w:sz="4" w:space="0" w:color="D6D3D1"/>
              <w:left w:val="single" w:sz="4" w:space="0" w:color="D6D3D1"/>
              <w:bottom w:val="single" w:sz="4" w:space="0" w:color="D6D3D1"/>
              <w:right w:val="single" w:sz="4" w:space="0" w:color="D6D3D1"/>
            </w:tcBorders>
          </w:tcPr>
          <w:p>
            <w:pPr>
              <w:spacing w:after="40" w:before="40" w:line="240" w:lineRule="auto"/>
              <w:jc w:val="left"/>
            </w:pPr>
            <w:r/>
            <w:r>
              <w:rPr>
                <w:rFonts w:ascii="Montserrat" w:hAnsi="Montserrat" w:eastAsia="Montserrat" w:cs="Montserrat"/>
                <w:b w:val="0"/>
                <w:i w:val="0"/>
                <w:sz w:val="20"/>
              </w:rPr>
              <w:t>≥ 0.80</w:t>
            </w:r>
          </w:p>
        </w:tc>
        <w:tc>
          <w:tcPr>
            <w:tcW w:type="dxa" w:w="1733"/>
            <w:tcBorders>
              <w:top w:val="single" w:sz="4" w:space="0" w:color="D6D3D1"/>
              <w:left w:val="single" w:sz="4" w:space="0" w:color="D6D3D1"/>
              <w:bottom w:val="single" w:sz="4" w:space="0" w:color="D6D3D1"/>
              <w:right w:val="single" w:sz="4" w:space="0" w:color="D6D3D1"/>
            </w:tcBorders>
          </w:tcPr>
          <w:p>
            <w:pPr>
              <w:spacing w:after="40" w:before="40" w:line="240" w:lineRule="auto"/>
              <w:jc w:val="left"/>
            </w:pPr>
            <w:r/>
            <w:r>
              <w:rPr>
                <w:rFonts w:ascii="Montserrat" w:hAnsi="Montserrat" w:eastAsia="Montserrat" w:cs="Montserrat"/>
                <w:b w:val="0"/>
                <w:i w:val="0"/>
                <w:sz w:val="20"/>
              </w:rPr>
              <w:t>Met</w:t>
            </w:r>
          </w:p>
        </w:tc>
      </w:tr>
      <w:tr>
        <w:tc>
          <w:tcPr>
            <w:tcW w:type="dxa" w:w="1733"/>
            <w:tcBorders>
              <w:top w:val="single" w:sz="4" w:space="0" w:color="D6D3D1"/>
              <w:left w:val="single" w:sz="4" w:space="0" w:color="D6D3D1"/>
              <w:bottom w:val="single" w:sz="4" w:space="0" w:color="D6D3D1"/>
              <w:right w:val="single" w:sz="4" w:space="0" w:color="D6D3D1"/>
            </w:tcBorders>
            <w:shd w:fill="F4F1EE" w:val="clear"/>
          </w:tcPr>
          <w:p>
            <w:pPr>
              <w:spacing w:after="40" w:before="40" w:line="240" w:lineRule="auto"/>
              <w:jc w:val="left"/>
            </w:pPr>
            <w:r/>
            <w:r>
              <w:rPr>
                <w:rFonts w:ascii="Montserrat" w:hAnsi="Montserrat" w:eastAsia="Montserrat" w:cs="Montserrat"/>
                <w:b w:val="0"/>
                <w:i w:val="0"/>
                <w:sz w:val="20"/>
              </w:rPr>
              <w:t>Dropout risk</w:t>
            </w:r>
          </w:p>
        </w:tc>
        <w:tc>
          <w:tcPr>
            <w:tcW w:type="dxa" w:w="1733"/>
            <w:tcBorders>
              <w:top w:val="single" w:sz="4" w:space="0" w:color="D6D3D1"/>
              <w:left w:val="single" w:sz="4" w:space="0" w:color="D6D3D1"/>
              <w:bottom w:val="single" w:sz="4" w:space="0" w:color="D6D3D1"/>
              <w:right w:val="single" w:sz="4" w:space="0" w:color="D6D3D1"/>
            </w:tcBorders>
            <w:shd w:fill="F4F1EE" w:val="clear"/>
          </w:tcPr>
          <w:p>
            <w:pPr>
              <w:spacing w:after="40" w:before="40" w:line="240" w:lineRule="auto"/>
              <w:jc w:val="left"/>
            </w:pPr>
            <w:r/>
            <w:r>
              <w:rPr>
                <w:rFonts w:ascii="Montserrat" w:hAnsi="Montserrat" w:eastAsia="Montserrat" w:cs="Montserrat"/>
                <w:b w:val="0"/>
                <w:i w:val="0"/>
                <w:sz w:val="20"/>
              </w:rPr>
              <w:t>AUC</w:t>
            </w:r>
          </w:p>
        </w:tc>
        <w:tc>
          <w:tcPr>
            <w:tcW w:type="dxa" w:w="1733"/>
            <w:tcBorders>
              <w:top w:val="single" w:sz="4" w:space="0" w:color="D6D3D1"/>
              <w:left w:val="single" w:sz="4" w:space="0" w:color="D6D3D1"/>
              <w:bottom w:val="single" w:sz="4" w:space="0" w:color="D6D3D1"/>
              <w:right w:val="single" w:sz="4" w:space="0" w:color="D6D3D1"/>
            </w:tcBorders>
            <w:shd w:fill="F4F1EE" w:val="clear"/>
          </w:tcPr>
          <w:p>
            <w:pPr>
              <w:spacing w:after="40" w:before="40" w:line="240" w:lineRule="auto"/>
              <w:jc w:val="left"/>
            </w:pPr>
            <w:r/>
            <w:r>
              <w:rPr>
                <w:rFonts w:ascii="Montserrat" w:hAnsi="Montserrat" w:eastAsia="Montserrat" w:cs="Montserrat"/>
                <w:b w:val="0"/>
                <w:i w:val="0"/>
                <w:sz w:val="20"/>
              </w:rPr>
              <w:t>1.00</w:t>
            </w:r>
          </w:p>
        </w:tc>
        <w:tc>
          <w:tcPr>
            <w:tcW w:type="dxa" w:w="1733"/>
            <w:tcBorders>
              <w:top w:val="single" w:sz="4" w:space="0" w:color="D6D3D1"/>
              <w:left w:val="single" w:sz="4" w:space="0" w:color="D6D3D1"/>
              <w:bottom w:val="single" w:sz="4" w:space="0" w:color="D6D3D1"/>
              <w:right w:val="single" w:sz="4" w:space="0" w:color="D6D3D1"/>
            </w:tcBorders>
            <w:shd w:fill="F4F1EE" w:val="clear"/>
          </w:tcPr>
          <w:p>
            <w:pPr>
              <w:spacing w:after="40" w:before="40" w:line="240" w:lineRule="auto"/>
              <w:jc w:val="left"/>
            </w:pPr>
            <w:r/>
            <w:r>
              <w:rPr>
                <w:rFonts w:ascii="Montserrat" w:hAnsi="Montserrat" w:eastAsia="Montserrat" w:cs="Montserrat"/>
                <w:b w:val="0"/>
                <w:i w:val="0"/>
                <w:sz w:val="20"/>
              </w:rPr>
              <w:t>Report with caveat</w:t>
            </w:r>
          </w:p>
        </w:tc>
        <w:tc>
          <w:tcPr>
            <w:tcW w:type="dxa" w:w="1733"/>
            <w:tcBorders>
              <w:top w:val="single" w:sz="4" w:space="0" w:color="D6D3D1"/>
              <w:left w:val="single" w:sz="4" w:space="0" w:color="D6D3D1"/>
              <w:bottom w:val="single" w:sz="4" w:space="0" w:color="D6D3D1"/>
              <w:right w:val="single" w:sz="4" w:space="0" w:color="D6D3D1"/>
            </w:tcBorders>
            <w:shd w:fill="F4F1EE" w:val="clear"/>
          </w:tcPr>
          <w:p>
            <w:pPr>
              <w:spacing w:after="40" w:before="40" w:line="240" w:lineRule="auto"/>
              <w:jc w:val="left"/>
            </w:pPr>
            <w:r/>
            <w:r>
              <w:rPr>
                <w:rFonts w:ascii="Montserrat" w:hAnsi="Montserrat" w:eastAsia="Montserrat" w:cs="Montserrat"/>
                <w:b w:val="0"/>
                <w:i w:val="0"/>
                <w:sz w:val="20"/>
              </w:rPr>
              <w:t>Met only as synthetic-label ceiling</w:t>
            </w:r>
          </w:p>
        </w:tc>
      </w:tr>
      <w:tr>
        <w:tc>
          <w:tcPr>
            <w:tcW w:type="dxa" w:w="1733"/>
            <w:tcBorders>
              <w:top w:val="single" w:sz="4" w:space="0" w:color="D6D3D1"/>
              <w:left w:val="single" w:sz="4" w:space="0" w:color="D6D3D1"/>
              <w:bottom w:val="single" w:sz="4" w:space="0" w:color="D6D3D1"/>
              <w:right w:val="single" w:sz="4" w:space="0" w:color="D6D3D1"/>
            </w:tcBorders>
          </w:tcPr>
          <w:p>
            <w:pPr>
              <w:spacing w:after="40" w:before="40" w:line="240" w:lineRule="auto"/>
              <w:jc w:val="left"/>
            </w:pPr>
            <w:r/>
            <w:r>
              <w:rPr>
                <w:rFonts w:ascii="Montserrat" w:hAnsi="Montserrat" w:eastAsia="Montserrat" w:cs="Montserrat"/>
                <w:b w:val="0"/>
                <w:i w:val="0"/>
                <w:sz w:val="20"/>
              </w:rPr>
              <w:t>Product</w:t>
            </w:r>
          </w:p>
        </w:tc>
        <w:tc>
          <w:tcPr>
            <w:tcW w:type="dxa" w:w="1733"/>
            <w:tcBorders>
              <w:top w:val="single" w:sz="4" w:space="0" w:color="D6D3D1"/>
              <w:left w:val="single" w:sz="4" w:space="0" w:color="D6D3D1"/>
              <w:bottom w:val="single" w:sz="4" w:space="0" w:color="D6D3D1"/>
              <w:right w:val="single" w:sz="4" w:space="0" w:color="D6D3D1"/>
            </w:tcBorders>
          </w:tcPr>
          <w:p>
            <w:pPr>
              <w:spacing w:after="40" w:before="40" w:line="240" w:lineRule="auto"/>
              <w:jc w:val="left"/>
            </w:pPr>
            <w:r/>
            <w:r>
              <w:rPr>
                <w:rFonts w:ascii="Montserrat" w:hAnsi="Montserrat" w:eastAsia="Montserrat" w:cs="Montserrat"/>
                <w:b w:val="0"/>
                <w:i w:val="0"/>
                <w:sz w:val="20"/>
              </w:rPr>
              <w:t>Role-aware staging Hub</w:t>
            </w:r>
          </w:p>
        </w:tc>
        <w:tc>
          <w:tcPr>
            <w:tcW w:type="dxa" w:w="1733"/>
            <w:tcBorders>
              <w:top w:val="single" w:sz="4" w:space="0" w:color="D6D3D1"/>
              <w:left w:val="single" w:sz="4" w:space="0" w:color="D6D3D1"/>
              <w:bottom w:val="single" w:sz="4" w:space="0" w:color="D6D3D1"/>
              <w:right w:val="single" w:sz="4" w:space="0" w:color="D6D3D1"/>
            </w:tcBorders>
          </w:tcPr>
          <w:p>
            <w:pPr>
              <w:spacing w:after="40" w:before="40" w:line="240" w:lineRule="auto"/>
              <w:jc w:val="left"/>
            </w:pPr>
            <w:r/>
            <w:r>
              <w:rPr>
                <w:rFonts w:ascii="Montserrat" w:hAnsi="Montserrat" w:eastAsia="Montserrat" w:cs="Montserrat"/>
                <w:b w:val="0"/>
                <w:i w:val="0"/>
                <w:sz w:val="20"/>
              </w:rPr>
              <w:t>Live</w:t>
            </w:r>
          </w:p>
        </w:tc>
        <w:tc>
          <w:tcPr>
            <w:tcW w:type="dxa" w:w="1733"/>
            <w:tcBorders>
              <w:top w:val="single" w:sz="4" w:space="0" w:color="D6D3D1"/>
              <w:left w:val="single" w:sz="4" w:space="0" w:color="D6D3D1"/>
              <w:bottom w:val="single" w:sz="4" w:space="0" w:color="D6D3D1"/>
              <w:right w:val="single" w:sz="4" w:space="0" w:color="D6D3D1"/>
            </w:tcBorders>
          </w:tcPr>
          <w:p>
            <w:pPr>
              <w:spacing w:after="40" w:before="40" w:line="240" w:lineRule="auto"/>
              <w:jc w:val="left"/>
            </w:pPr>
            <w:r/>
            <w:r>
              <w:rPr>
                <w:rFonts w:ascii="Montserrat" w:hAnsi="Montserrat" w:eastAsia="Montserrat" w:cs="Montserrat"/>
                <w:b w:val="0"/>
                <w:i w:val="0"/>
                <w:sz w:val="20"/>
              </w:rPr>
              <w:t>Demonstrable OS</w:t>
            </w:r>
          </w:p>
        </w:tc>
        <w:tc>
          <w:tcPr>
            <w:tcW w:type="dxa" w:w="1733"/>
            <w:tcBorders>
              <w:top w:val="single" w:sz="4" w:space="0" w:color="D6D3D1"/>
              <w:left w:val="single" w:sz="4" w:space="0" w:color="D6D3D1"/>
              <w:bottom w:val="single" w:sz="4" w:space="0" w:color="D6D3D1"/>
              <w:right w:val="single" w:sz="4" w:space="0" w:color="D6D3D1"/>
            </w:tcBorders>
          </w:tcPr>
          <w:p>
            <w:pPr>
              <w:spacing w:after="40" w:before="40" w:line="240" w:lineRule="auto"/>
              <w:jc w:val="left"/>
            </w:pPr>
            <w:r/>
            <w:r>
              <w:rPr>
                <w:rFonts w:ascii="Montserrat" w:hAnsi="Montserrat" w:eastAsia="Montserrat" w:cs="Montserrat"/>
                <w:b w:val="0"/>
                <w:i w:val="0"/>
                <w:sz w:val="20"/>
              </w:rPr>
              <w:t>Met</w:t>
            </w:r>
          </w:p>
        </w:tc>
      </w:tr>
    </w:tbl>
    <w:p/>
    <w:p>
      <w:pPr>
        <w:spacing w:after="160" w:before="0" w:line="360" w:lineRule="auto"/>
        <w:jc w:val="both"/>
      </w:pPr>
      <w:r>
        <w:rPr>
          <w:rFonts w:ascii="Montserrat" w:hAnsi="Montserrat" w:eastAsia="Montserrat" w:cs="Montserrat"/>
          <w:b w:val="0"/>
          <w:i w:val="0"/>
          <w:sz w:val="22"/>
        </w:rPr>
        <w:t>AUC 1.00 is a synthetic-label ceiling. It is not live ESL performance and must not be used in fundraising copy (SimpleJoint Trust, 2026b).</w:t>
      </w:r>
    </w:p>
    <w:p>
      <w:pPr>
        <w:spacing w:after="80" w:before="160" w:line="276" w:lineRule="auto"/>
        <w:jc w:val="left"/>
      </w:pPr>
      <w:r>
        <w:rPr>
          <w:rFonts w:ascii="Montserrat" w:hAnsi="Montserrat" w:eastAsia="Montserrat" w:cs="Montserrat"/>
          <w:b w:val="0"/>
          <w:i/>
          <w:color w:val="0D1B2A"/>
          <w:sz w:val="22"/>
        </w:rPr>
        <w:t>Platform sample statistics</w:t>
      </w:r>
    </w:p>
    <w:p>
      <w:pPr>
        <w:spacing w:after="160" w:before="0" w:line="360" w:lineRule="auto"/>
        <w:jc w:val="both"/>
      </w:pPr>
      <w:r>
        <w:rPr>
          <w:rFonts w:ascii="Montserrat" w:hAnsi="Montserrat" w:eastAsia="Montserrat" w:cs="Montserrat"/>
          <w:b w:val="0"/>
          <w:i w:val="0"/>
          <w:sz w:val="22"/>
        </w:rPr>
        <w:t>On the demo set: 24 users; 117 matches; 11 mentor pairs; 11 at-risk flags; NPS proxy 42; 1 scam flag. These numbers describe the sample, not ESL census. The NPS proxy is a demo-set illustration and is not bootcamp or live-scholar NPS.</w:t>
      </w:r>
    </w:p>
    <w:p>
      <w:pPr>
        <w:spacing w:after="80" w:before="160" w:line="276" w:lineRule="auto"/>
        <w:jc w:val="left"/>
      </w:pPr>
      <w:r>
        <w:rPr>
          <w:rFonts w:ascii="Montserrat" w:hAnsi="Montserrat" w:eastAsia="Montserrat" w:cs="Montserrat"/>
          <w:b w:val="0"/>
          <w:i/>
          <w:color w:val="0D1B2A"/>
          <w:sz w:val="22"/>
        </w:rPr>
        <w:t>Shipping proof</w:t>
      </w:r>
    </w:p>
    <w:p>
      <w:pPr>
        <w:spacing w:after="160" w:before="0" w:line="360" w:lineRule="auto"/>
        <w:jc w:val="both"/>
      </w:pPr>
      <w:r>
        <w:rPr>
          <w:rFonts w:ascii="Montserrat" w:hAnsi="Montserrat" w:eastAsia="Montserrat" w:cs="Montserrat"/>
          <w:b w:val="0"/>
          <w:i w:val="0"/>
          <w:sz w:val="22"/>
        </w:rPr>
        <w:t xml:space="preserve">Staging Mentor Hub is reachable. Ranking, matching, risk, and explanation execute. Examiners should use </w:t>
      </w:r>
      <w:r>
        <w:rPr>
          <w:rFonts w:ascii="Montserrat" w:hAnsi="Montserrat" w:eastAsia="Montserrat" w:cs="Montserrat"/>
          <w:b w:val="0"/>
          <w:i w:val="0"/>
          <w:sz w:val="18"/>
        </w:rPr>
        <w:t>/dashboard/login</w:t>
      </w:r>
      <w:r>
        <w:rPr>
          <w:rFonts w:ascii="Montserrat" w:hAnsi="Montserrat" w:eastAsia="Montserrat" w:cs="Montserrat"/>
          <w:b w:val="0"/>
          <w:i w:val="0"/>
          <w:sz w:val="22"/>
        </w:rPr>
        <w:t xml:space="preserve"> and the documented demo emails. The production Sign Up shell at </w:t>
      </w:r>
      <w:r>
        <w:rPr>
          <w:rFonts w:ascii="Montserrat" w:hAnsi="Montserrat" w:eastAsia="Montserrat" w:cs="Montserrat"/>
          <w:b w:val="0"/>
          <w:i w:val="0"/>
          <w:sz w:val="18"/>
        </w:rPr>
        <w:t>/login</w:t>
      </w:r>
      <w:r>
        <w:rPr>
          <w:rFonts w:ascii="Montserrat" w:hAnsi="Montserrat" w:eastAsia="Montserrat" w:cs="Montserrat"/>
          <w:b w:val="0"/>
          <w:i w:val="0"/>
          <w:sz w:val="22"/>
        </w:rPr>
        <w:t xml:space="preserve"> is a future-auth scaffold and is not the Capstone door (SimpleJoint Trust, 2026g).</w:t>
      </w:r>
    </w:p>
    <w:p>
      <w:pPr>
        <w:spacing w:after="80" w:before="160" w:line="276" w:lineRule="auto"/>
        <w:jc w:val="left"/>
      </w:pPr>
      <w:r>
        <w:rPr>
          <w:rFonts w:ascii="Montserrat" w:hAnsi="Montserrat" w:eastAsia="Montserrat" w:cs="Montserrat"/>
          <w:b w:val="0"/>
          <w:i/>
          <w:color w:val="0D1B2A"/>
          <w:sz w:val="22"/>
        </w:rPr>
        <w:t>Launch status</w:t>
      </w:r>
    </w:p>
    <w:p>
      <w:pPr>
        <w:spacing w:after="160" w:before="0" w:line="360" w:lineRule="auto"/>
        <w:jc w:val="both"/>
      </w:pPr>
      <w:r>
        <w:rPr>
          <w:rFonts w:ascii="Montserrat" w:hAnsi="Montserrat" w:eastAsia="Montserrat" w:cs="Montserrat"/>
          <w:b w:val="0"/>
          <w:i w:val="0"/>
          <w:sz w:val="22"/>
        </w:rPr>
        <w:t>The bootcamp remains the intended launch path for the OS into ESL. No attendance, NPS, internship, Demo Day, or completion figure is reported, because completion evidence is not in the evaluation pack. Until a bootcamp is delivered, shipping proof remains the staging Hub.</w:t>
      </w:r>
    </w:p>
    <w:p>
      <w:pPr>
        <w:spacing w:after="120" w:before="240" w:line="276" w:lineRule="auto"/>
        <w:jc w:val="left"/>
      </w:pPr>
      <w:r>
        <w:rPr>
          <w:rFonts w:ascii="Montserrat" w:hAnsi="Montserrat" w:eastAsia="Montserrat" w:cs="Montserrat"/>
          <w:b/>
          <w:i w:val="0"/>
          <w:color w:val="0D1B2A"/>
          <w:sz w:val="22"/>
        </w:rPr>
        <w:t>4.5 Stakeholder Feedback and Engagement</w:t>
      </w:r>
    </w:p>
    <w:p>
      <w:pPr>
        <w:spacing w:after="160" w:before="0" w:line="360" w:lineRule="auto"/>
        <w:jc w:val="both"/>
      </w:pPr>
      <w:r>
        <w:rPr>
          <w:rFonts w:ascii="Montserrat" w:hAnsi="Montserrat" w:eastAsia="Montserrat" w:cs="Montserrat"/>
          <w:b w:val="0"/>
          <w:i w:val="0"/>
          <w:sz w:val="22"/>
        </w:rPr>
        <w:t>Available feedback is design, leadership, and demonstration feedback, not a completed scholar FGD series. Leadership insisted on metric hygiene and production gating. Design documentation distinguishes the Canva north star from the staging algorithmic proof (SimpleJoint Trust, 2026e). Live ESL usability with 10–15 scholars is a Phase 1 activity, not a result reported here. Where feedback is missing, the report leaves the cell empty rather than filling it with plausible quotes.</w:t>
      </w:r>
    </w:p>
    <w:p>
      <w:pPr>
        <w:spacing w:after="120" w:before="240" w:line="276" w:lineRule="auto"/>
        <w:jc w:val="left"/>
      </w:pPr>
      <w:r>
        <w:rPr>
          <w:rFonts w:ascii="Montserrat" w:hAnsi="Montserrat" w:eastAsia="Montserrat" w:cs="Montserrat"/>
          <w:b/>
          <w:i w:val="0"/>
          <w:color w:val="0D1B2A"/>
          <w:sz w:val="22"/>
        </w:rPr>
        <w:t>4.6 Lessons Learned</w:t>
      </w:r>
    </w:p>
    <w:p>
      <w:pPr>
        <w:pStyle w:val="ListNumber"/>
        <w:spacing w:after="80" w:before="0" w:line="360" w:lineRule="auto"/>
        <w:jc w:val="both"/>
      </w:pPr>
      <w:r>
        <w:rPr>
          <w:rFonts w:ascii="Montserrat" w:hAnsi="Montserrat" w:eastAsia="Montserrat" w:cs="Montserrat"/>
          <w:b w:val="0"/>
          <w:i w:val="0"/>
          <w:sz w:val="22"/>
        </w:rPr>
        <w:t>Category discipline beats feature volume. An ESL operating system is more defensible than a wide catalogue.</w:t>
      </w:r>
    </w:p>
    <w:p>
      <w:pPr>
        <w:pStyle w:val="ListNumber"/>
        <w:spacing w:after="80" w:before="0" w:line="360" w:lineRule="auto"/>
        <w:jc w:val="both"/>
      </w:pPr>
      <w:r>
        <w:rPr>
          <w:rFonts w:ascii="Montserrat" w:hAnsi="Montserrat" w:eastAsia="Montserrat" w:cs="Montserrat"/>
          <w:b w:val="0"/>
          <w:i w:val="0"/>
          <w:sz w:val="22"/>
        </w:rPr>
        <w:t>Metric hygiene is a product requirement. Mixing $158,000+ with AUC 1.00 would be an integrity failure.</w:t>
      </w:r>
    </w:p>
    <w:p>
      <w:pPr>
        <w:pStyle w:val="ListNumber"/>
        <w:spacing w:after="80" w:before="0" w:line="360" w:lineRule="auto"/>
        <w:jc w:val="both"/>
      </w:pPr>
      <w:r>
        <w:rPr>
          <w:rFonts w:ascii="Montserrat" w:hAnsi="Montserrat" w:eastAsia="Montserrat" w:cs="Montserrat"/>
          <w:b w:val="0"/>
          <w:i w:val="0"/>
          <w:sz w:val="22"/>
        </w:rPr>
        <w:t>Demo JSON is fast and dangerous. It enabled Capstone evaluation and now blocks operational truth.</w:t>
      </w:r>
    </w:p>
    <w:p>
      <w:pPr>
        <w:pStyle w:val="ListNumber"/>
        <w:spacing w:after="80" w:before="0" w:line="360" w:lineRule="auto"/>
        <w:jc w:val="both"/>
      </w:pPr>
      <w:r>
        <w:rPr>
          <w:rFonts w:ascii="Montserrat" w:hAnsi="Montserrat" w:eastAsia="Montserrat" w:cs="Montserrat"/>
          <w:b w:val="0"/>
          <w:i w:val="0"/>
          <w:sz w:val="22"/>
        </w:rPr>
        <w:t>Mentor supply is the binding constraint, not model choice.</w:t>
      </w:r>
    </w:p>
    <w:p>
      <w:pPr>
        <w:pStyle w:val="ListNumber"/>
        <w:spacing w:after="80" w:before="0" w:line="360" w:lineRule="auto"/>
        <w:jc w:val="both"/>
      </w:pPr>
      <w:r>
        <w:rPr>
          <w:rFonts w:ascii="Montserrat" w:hAnsi="Montserrat" w:eastAsia="Montserrat" w:cs="Montserrat"/>
          <w:b w:val="0"/>
          <w:i w:val="0"/>
          <w:sz w:val="22"/>
        </w:rPr>
        <w:t>Dates that conflict (bootcamp) should be dropped from claims. The bootcamp is still the intended launch vehicle.</w:t>
      </w:r>
    </w:p>
    <w:p>
      <w:pPr>
        <w:pStyle w:val="ListNumber"/>
        <w:spacing w:after="80" w:before="0" w:line="360" w:lineRule="auto"/>
        <w:jc w:val="both"/>
      </w:pPr>
      <w:r>
        <w:rPr>
          <w:rFonts w:ascii="Montserrat" w:hAnsi="Montserrat" w:eastAsia="Montserrat" w:cs="Montserrat"/>
          <w:b w:val="0"/>
          <w:i w:val="0"/>
          <w:sz w:val="22"/>
        </w:rPr>
        <w:t>The Capstone I campaign created narrative demand; ESL created the programme; only then did an operating system have a user.</w:t>
      </w:r>
    </w:p>
    <w:p>
      <w:pPr>
        <w:spacing w:after="120" w:before="240" w:line="276" w:lineRule="auto"/>
        <w:jc w:val="left"/>
      </w:pPr>
      <w:r>
        <w:rPr>
          <w:rFonts w:ascii="Montserrat" w:hAnsi="Montserrat" w:eastAsia="Montserrat" w:cs="Montserrat"/>
          <w:b/>
          <w:i w:val="0"/>
          <w:color w:val="0D1B2A"/>
          <w:sz w:val="22"/>
        </w:rPr>
        <w:t>4.7 Limitations and Challenges</w:t>
      </w:r>
    </w:p>
    <w:p>
      <w:pPr>
        <w:pStyle w:val="ListBullet"/>
        <w:spacing w:after="80" w:before="0" w:line="360" w:lineRule="auto"/>
        <w:jc w:val="both"/>
      </w:pPr>
      <w:r>
        <w:rPr>
          <w:rFonts w:ascii="Montserrat" w:hAnsi="Montserrat" w:eastAsia="Montserrat" w:cs="Montserrat"/>
          <w:b w:val="0"/>
          <w:i w:val="0"/>
          <w:sz w:val="22"/>
        </w:rPr>
        <w:t>Synthetic labels on risk: AUC 1.00 is not generalisable.</w:t>
      </w:r>
    </w:p>
    <w:p>
      <w:pPr>
        <w:pStyle w:val="ListBullet"/>
        <w:spacing w:after="80" w:before="0" w:line="360" w:lineRule="auto"/>
        <w:jc w:val="both"/>
      </w:pPr>
      <w:r>
        <w:rPr>
          <w:rFonts w:ascii="Montserrat" w:hAnsi="Montserrat" w:eastAsia="Montserrat" w:cs="Montserrat"/>
          <w:b w:val="0"/>
          <w:i w:val="0"/>
          <w:sz w:val="22"/>
        </w:rPr>
        <w:t>Sample size: 24 users is a toy cohort relative to 85+ ESL scholars.</w:t>
      </w:r>
    </w:p>
    <w:p>
      <w:pPr>
        <w:pStyle w:val="ListBullet"/>
        <w:spacing w:after="80" w:before="0" w:line="360" w:lineRule="auto"/>
        <w:jc w:val="both"/>
      </w:pPr>
      <w:r>
        <w:rPr>
          <w:rFonts w:ascii="Montserrat" w:hAnsi="Montserrat" w:eastAsia="Montserrat" w:cs="Montserrat"/>
          <w:b w:val="0"/>
          <w:i w:val="0"/>
          <w:sz w:val="22"/>
        </w:rPr>
        <w:t>NLP stack: TF-IDF with stubs; not production sentence-transformers.</w:t>
      </w:r>
    </w:p>
    <w:p>
      <w:pPr>
        <w:pStyle w:val="ListBullet"/>
        <w:spacing w:after="80" w:before="0" w:line="360" w:lineRule="auto"/>
        <w:jc w:val="both"/>
      </w:pPr>
      <w:r>
        <w:rPr>
          <w:rFonts w:ascii="Montserrat" w:hAnsi="Montserrat" w:eastAsia="Montserrat" w:cs="Montserrat"/>
          <w:b w:val="0"/>
          <w:i w:val="0"/>
          <w:sz w:val="22"/>
        </w:rPr>
        <w:t>No live ESL survey n for Capstone II.</w:t>
      </w:r>
    </w:p>
    <w:p>
      <w:pPr>
        <w:pStyle w:val="ListBullet"/>
        <w:spacing w:after="80" w:before="0" w:line="360" w:lineRule="auto"/>
        <w:jc w:val="both"/>
      </w:pPr>
      <w:r>
        <w:rPr>
          <w:rFonts w:ascii="Montserrat" w:hAnsi="Montserrat" w:eastAsia="Montserrat" w:cs="Montserrat"/>
          <w:b w:val="0"/>
          <w:i w:val="0"/>
          <w:sz w:val="22"/>
        </w:rPr>
        <w:t>Volunteer delivery: open roles in programmes, legal, IT, and JointHub management.</w:t>
      </w:r>
    </w:p>
    <w:p>
      <w:pPr>
        <w:pStyle w:val="ListBullet"/>
        <w:spacing w:after="80" w:before="0" w:line="360" w:lineRule="auto"/>
        <w:jc w:val="both"/>
      </w:pPr>
      <w:r>
        <w:rPr>
          <w:rFonts w:ascii="Montserrat" w:hAnsi="Montserrat" w:eastAsia="Montserrat" w:cs="Montserrat"/>
          <w:b w:val="0"/>
          <w:i w:val="0"/>
          <w:sz w:val="22"/>
        </w:rPr>
        <w:t>Auth split between demo gate and Supabase shell can confuse reviewers if not narrated.</w:t>
      </w:r>
    </w:p>
    <w:p>
      <w:pPr>
        <w:pStyle w:val="ListBullet"/>
        <w:spacing w:after="80" w:before="0" w:line="360" w:lineRule="auto"/>
        <w:jc w:val="both"/>
      </w:pPr>
      <w:r>
        <w:rPr>
          <w:rFonts w:ascii="Montserrat" w:hAnsi="Montserrat" w:eastAsia="Montserrat" w:cs="Montserrat"/>
          <w:b w:val="0"/>
          <w:i w:val="0"/>
          <w:sz w:val="22"/>
        </w:rPr>
        <w:t>Finance SROI ~74:1 is campaign-plan directional arithmetic, not an audit.</w:t>
      </w:r>
    </w:p>
    <w:p>
      <w:pPr>
        <w:pStyle w:val="ListBullet"/>
        <w:spacing w:after="80" w:before="0" w:line="360" w:lineRule="auto"/>
        <w:jc w:val="both"/>
      </w:pPr>
      <w:r>
        <w:rPr>
          <w:rFonts w:ascii="Montserrat" w:hAnsi="Montserrat" w:eastAsia="Montserrat" w:cs="Montserrat"/>
          <w:b w:val="0"/>
          <w:i w:val="0"/>
          <w:sz w:val="22"/>
        </w:rPr>
        <w:t>Bootcamp launch has not been evidenced as a completed field result.</w:t>
      </w:r>
    </w:p>
    <w:p>
      <w:pPr>
        <w:spacing w:after="160" w:before="0" w:line="360" w:lineRule="auto"/>
        <w:jc w:val="both"/>
      </w:pPr>
      <w:r>
        <w:rPr>
          <w:rFonts w:ascii="Montserrat" w:hAnsi="Montserrat" w:eastAsia="Montserrat" w:cs="Montserrat"/>
          <w:b w:val="0"/>
          <w:i w:val="0"/>
          <w:sz w:val="22"/>
        </w:rPr>
        <w:t>Confidence. High: staging exists; sample KPIs as recorded; NISR/ILO secondary labour figures; SimpleJoint authorised impact figures. Medium: sustainability finance targets. Low/unverified: synthetic AUC as a real-world claim (explicitly rejected); undelivered bootcamp outcomes.</w:t>
      </w:r>
    </w:p>
    <w:p>
      <w:pPr>
        <w:spacing w:after="120" w:before="240" w:line="276" w:lineRule="auto"/>
        <w:jc w:val="left"/>
      </w:pPr>
      <w:r>
        <w:rPr>
          <w:rFonts w:ascii="Montserrat" w:hAnsi="Montserrat" w:eastAsia="Montserrat" w:cs="Montserrat"/>
          <w:b/>
          <w:i w:val="0"/>
          <w:color w:val="0D1B2A"/>
          <w:sz w:val="22"/>
        </w:rPr>
        <w:t>4.8 Link to Sustainability and Recommendations</w:t>
      </w:r>
    </w:p>
    <w:p>
      <w:pPr>
        <w:spacing w:after="160" w:before="0" w:line="360" w:lineRule="auto"/>
        <w:jc w:val="both"/>
      </w:pPr>
      <w:r>
        <w:rPr>
          <w:rFonts w:ascii="Montserrat" w:hAnsi="Montserrat" w:eastAsia="Montserrat" w:cs="Montserrat"/>
          <w:b w:val="0"/>
          <w:i w:val="0"/>
          <w:sz w:val="22"/>
        </w:rPr>
        <w:t>Results justify a freeze, not a tour. Ranking, matching, and explanation meet sample targets with one heavily caveated risk metric. The organisation still lacks live data, mentor depth, and board coverage. Chapter Five therefore recommends hybrid finance, operational SOPs, institutional embedding in ESL, bootcamp as launch rather than as invented proof, and depth-first scale: Rwanda ESL first, partners second, geography last.</w:t>
      </w:r>
    </w:p>
    <w:p>
      <w:r>
        <w:br w:type="page"/>
      </w:r>
    </w:p>
    <w:p>
      <w:pPr>
        <w:spacing w:after="240" w:before="0" w:line="276" w:lineRule="auto"/>
        <w:jc w:val="left"/>
      </w:pPr>
      <w:r>
        <w:rPr>
          <w:rFonts w:ascii="Montserrat" w:hAnsi="Montserrat" w:eastAsia="Montserrat" w:cs="Montserrat"/>
          <w:b/>
          <w:i w:val="0"/>
          <w:color w:val="0D1B2A"/>
          <w:sz w:val="24"/>
        </w:rPr>
        <w:t>CHAPTER FIVE: SUSTAINABILITY, SCALABILITY AND STRATEGIC RECOMMENDATIONS</w:t>
      </w:r>
    </w:p>
    <w:p>
      <w:pPr>
        <w:spacing w:after="120" w:before="240" w:line="276" w:lineRule="auto"/>
        <w:jc w:val="left"/>
      </w:pPr>
      <w:r>
        <w:rPr>
          <w:rFonts w:ascii="Montserrat" w:hAnsi="Montserrat" w:eastAsia="Montserrat" w:cs="Montserrat"/>
          <w:b/>
          <w:i w:val="0"/>
          <w:color w:val="0D1B2A"/>
          <w:sz w:val="22"/>
        </w:rPr>
        <w:t>5.1 Introduction to Long-Term Thinking</w:t>
      </w:r>
    </w:p>
    <w:p>
      <w:pPr>
        <w:spacing w:after="160" w:before="0" w:line="360" w:lineRule="auto"/>
        <w:jc w:val="both"/>
      </w:pPr>
      <w:r>
        <w:rPr>
          <w:rFonts w:ascii="Montserrat" w:hAnsi="Montserrat" w:eastAsia="Montserrat" w:cs="Montserrat"/>
          <w:b w:val="0"/>
          <w:i w:val="0"/>
          <w:sz w:val="22"/>
        </w:rPr>
        <w:t>Chapter Four showed a working staging Mentor Hub that meets sample-cohort targets with one synthetic-label caveat. That is necessary and not sufficient. This chapter answers how JointHub should be financed, run, institutionalised, and sequenced over 6, 12, and 24 months (SimpleJoint Trust, 2026h).</w:t>
      </w:r>
    </w:p>
    <w:p>
      <w:pPr>
        <w:spacing w:after="160" w:before="0" w:line="360" w:lineRule="auto"/>
        <w:jc w:val="both"/>
      </w:pPr>
      <w:r>
        <w:rPr>
          <w:rFonts w:ascii="Montserrat" w:hAnsi="Montserrat" w:eastAsia="Montserrat" w:cs="Montserrat"/>
          <w:b w:val="0"/>
          <w:i w:val="0"/>
          <w:sz w:val="22"/>
        </w:rPr>
        <w:t>The mission lock is unchanged. ESL remains the programme layer. The Mentor Hub remains the OS that runs ESL. The scholar core stays free. Scale that destroys interview confidence (100%) or leadership/service readiness (88%) is failure even if user counts rise.</w:t>
      </w:r>
    </w:p>
    <w:p>
      <w:pPr>
        <w:spacing w:after="120" w:before="240" w:line="276" w:lineRule="auto"/>
        <w:jc w:val="left"/>
      </w:pPr>
      <w:r>
        <w:rPr>
          <w:rFonts w:ascii="Montserrat" w:hAnsi="Montserrat" w:eastAsia="Montserrat" w:cs="Montserrat"/>
          <w:b/>
          <w:i w:val="0"/>
          <w:color w:val="0D1B2A"/>
          <w:sz w:val="22"/>
        </w:rPr>
        <w:t>5.2 Sustainability Strategy</w:t>
      </w:r>
    </w:p>
    <w:p>
      <w:pPr>
        <w:spacing w:after="80" w:before="160" w:line="276" w:lineRule="auto"/>
        <w:jc w:val="left"/>
      </w:pPr>
      <w:r>
        <w:rPr>
          <w:rFonts w:ascii="Montserrat" w:hAnsi="Montserrat" w:eastAsia="Montserrat" w:cs="Montserrat"/>
          <w:b w:val="0"/>
          <w:i/>
          <w:color w:val="0D1B2A"/>
          <w:sz w:val="22"/>
        </w:rPr>
        <w:t>Financial sustainability</w:t>
      </w:r>
    </w:p>
    <w:p>
      <w:pPr>
        <w:spacing w:after="160" w:before="0" w:line="360" w:lineRule="auto"/>
        <w:jc w:val="both"/>
      </w:pPr>
      <w:r>
        <w:rPr>
          <w:rFonts w:ascii="Montserrat" w:hAnsi="Montserrat" w:eastAsia="Montserrat" w:cs="Montserrat"/>
          <w:b w:val="0"/>
          <w:i w:val="0"/>
          <w:sz w:val="22"/>
        </w:rPr>
        <w:t>Volunteer-heavy nonprofits fail when a single grant window or founder fundraising capacity shifts. Vision 2050 links reduced aid dependency to national transformation (Republic of Rwanda, 2020). JointHub must finance a public-good scholar surface without brittle concentration.</w:t>
      </w:r>
    </w:p>
    <w:p>
      <w:pPr>
        <w:spacing w:after="160" w:before="0" w:line="360" w:lineRule="auto"/>
        <w:jc w:val="both"/>
      </w:pPr>
      <w:r>
        <w:rPr>
          <w:rFonts w:ascii="Montserrat" w:hAnsi="Montserrat" w:eastAsia="Montserrat" w:cs="Montserrat"/>
          <w:b w:val="0"/>
          <w:i w:val="0"/>
          <w:sz w:val="22"/>
        </w:rPr>
        <w:t>Diversified architecture: grants and philanthropy for delivery, MEARL, mentor stipends, compliance, and curation; institutional partner seats for universities and fellowship networks; hybrid earned income on the non-scholar core (white-label programme OS, facilitator training, analytics packs); in-kind mentor time, cloud credits, and pro-bono board service. Mission lock: no paywall on core opportunity discovery, mentor matching, or risk outreach for scholars.</w:t>
      </w:r>
    </w:p>
    <w:p>
      <w:pPr>
        <w:spacing w:after="160" w:before="0" w:line="360" w:lineRule="auto"/>
        <w:jc w:val="both"/>
      </w:pPr>
      <w:r>
        <w:rPr>
          <w:rFonts w:ascii="Montserrat" w:hAnsi="Montserrat" w:eastAsia="Montserrat" w:cs="Montserrat"/>
          <w:b w:val="0"/>
          <w:i w:val="0"/>
          <w:sz w:val="22"/>
        </w:rPr>
        <w:t>Operating rules (planning scenarios, not audited results): minimum 6 months of essential operating costs before production-scale marketing; no single funder above 40% of annual cash by Month 24; non-grant cash share rising toward at least 15% by 12–24 months and 25% by 24–36 months.</w:t>
      </w:r>
    </w:p>
    <w:p>
      <w:pPr>
        <w:spacing w:after="160" w:before="0" w:line="360" w:lineRule="auto"/>
        <w:jc w:val="both"/>
      </w:pPr>
      <w:r>
        <w:rPr>
          <w:rFonts w:ascii="Montserrat" w:hAnsi="Montserrat" w:eastAsia="Montserrat" w:cs="Montserrat"/>
          <w:b w:val="0"/>
          <w:i w:val="0"/>
          <w:sz w:val="22"/>
        </w:rPr>
        <w:t>Capstone-period finance is tiny. Cash out is about $80–110. Total input including volunteer time is about $735. Conservative social value used in the campaign plan is about $54,600, producing a directional SROI near 74:1. That ratio is indicative, not audited (SimpleJoint Trust, 2026i). Fundraising narrative should lead with ESL outcomes (6+ countries including Rwanda; 153+; 85+; Mentor Hub; $158,000+; 100%; 88%), not with unverified AI accuracy.</w:t>
      </w:r>
    </w:p>
    <w:p>
      <w:pPr>
        <w:spacing w:after="160" w:before="0" w:line="360" w:lineRule="auto"/>
        <w:jc w:val="both"/>
      </w:pPr>
      <w:r>
        <w:rPr>
          <w:rFonts w:ascii="Montserrat" w:hAnsi="Montserrat" w:eastAsia="Montserrat" w:cs="Montserrat"/>
          <w:b w:val="0"/>
          <w:i w:val="0"/>
          <w:sz w:val="22"/>
        </w:rPr>
        <w:t>The Skill-Link Rwanda business plan’s commercial pricing is not JointHub’s scholar price. It is evidence that Isaiah already modelled hybrid, affordable delivery in Rwanda; JointHub translates the public-good version of that insight (Kporon, n.d.).</w:t>
      </w:r>
    </w:p>
    <w:p>
      <w:pPr>
        <w:spacing w:after="80" w:before="160" w:line="276" w:lineRule="auto"/>
        <w:jc w:val="left"/>
      </w:pPr>
      <w:r>
        <w:rPr>
          <w:rFonts w:ascii="Montserrat" w:hAnsi="Montserrat" w:eastAsia="Montserrat" w:cs="Montserrat"/>
          <w:b w:val="0"/>
          <w:i/>
          <w:color w:val="0D1B2A"/>
          <w:sz w:val="22"/>
        </w:rPr>
        <w:t>Operational sustainability</w:t>
      </w:r>
    </w:p>
    <w:p>
      <w:pPr>
        <w:spacing w:after="160" w:before="0" w:line="360" w:lineRule="auto"/>
        <w:jc w:val="both"/>
      </w:pPr>
      <w:r>
        <w:rPr>
          <w:rFonts w:ascii="Montserrat" w:hAnsi="Montserrat" w:eastAsia="Montserrat" w:cs="Montserrat"/>
          <w:b w:val="0"/>
          <w:i w:val="0"/>
          <w:sz w:val="22"/>
        </w:rPr>
        <w:t>National skills diagnostics show mismatch, not missing websites, as the constraint (RDB et al., 2022; RDB, 2019). JointHub’s operational job is a reliable weekly OS: ranked opportunities with explainability over the 153+ set; Mentor Hub; dropout-risk outreach; live data within one quarter; mentor session logging tied to the 100% interview-confidence standard; weekly admin queue with human override on all flags.</w:t>
      </w:r>
    </w:p>
    <w:p>
      <w:pPr>
        <w:spacing w:after="80" w:before="160" w:line="276" w:lineRule="auto"/>
        <w:jc w:val="left"/>
      </w:pPr>
      <w:r>
        <w:rPr>
          <w:rFonts w:ascii="Montserrat" w:hAnsi="Montserrat" w:eastAsia="Montserrat" w:cs="Montserrat"/>
          <w:b w:val="0"/>
          <w:i/>
          <w:color w:val="0D1B2A"/>
          <w:sz w:val="22"/>
        </w:rPr>
        <w:t>Institutional sustainability</w:t>
      </w:r>
    </w:p>
    <w:p>
      <w:pPr>
        <w:spacing w:after="160" w:before="0" w:line="360" w:lineRule="auto"/>
        <w:jc w:val="both"/>
      </w:pPr>
      <w:r>
        <w:rPr>
          <w:rFonts w:ascii="Montserrat" w:hAnsi="Montserrat" w:eastAsia="Montserrat" w:cs="Montserrat"/>
          <w:b w:val="0"/>
          <w:i w:val="0"/>
          <w:sz w:val="22"/>
        </w:rPr>
        <w:t>Seat or complete diligence on finance and legal board candidates. Keep ED as product owner and MD as publish gate. Write a succession pack so the impact panel is not founder memory. Remain RGB-compliant. Do not publish production until both ED and MD sign off.</w:t>
      </w:r>
    </w:p>
    <w:p>
      <w:pPr>
        <w:spacing w:after="80" w:before="160" w:line="276" w:lineRule="auto"/>
        <w:jc w:val="left"/>
      </w:pPr>
      <w:r>
        <w:rPr>
          <w:rFonts w:ascii="Montserrat" w:hAnsi="Montserrat" w:eastAsia="Montserrat" w:cs="Montserrat"/>
          <w:b w:val="0"/>
          <w:i/>
          <w:color w:val="0D1B2A"/>
          <w:sz w:val="22"/>
        </w:rPr>
        <w:t>Community sustainability</w:t>
      </w:r>
    </w:p>
    <w:p>
      <w:pPr>
        <w:spacing w:after="160" w:before="0" w:line="360" w:lineRule="auto"/>
        <w:jc w:val="both"/>
      </w:pPr>
      <w:r>
        <w:rPr>
          <w:rFonts w:ascii="Montserrat" w:hAnsi="Montserrat" w:eastAsia="Montserrat" w:cs="Montserrat"/>
          <w:b w:val="0"/>
          <w:i w:val="0"/>
          <w:sz w:val="22"/>
        </w:rPr>
        <w:t>ESL community is the moat. Mentors need recognition and fair load. Scholars need dignity and a free core. Partners need a template MoU and shared reporting against the authorised panel, not against synthetic AUC.</w:t>
      </w:r>
    </w:p>
    <w:p>
      <w:pPr>
        <w:spacing w:after="120" w:before="240" w:line="276" w:lineRule="auto"/>
        <w:jc w:val="left"/>
      </w:pPr>
      <w:r>
        <w:rPr>
          <w:rFonts w:ascii="Montserrat" w:hAnsi="Montserrat" w:eastAsia="Montserrat" w:cs="Montserrat"/>
          <w:b/>
          <w:i w:val="0"/>
          <w:color w:val="0D1B2A"/>
          <w:sz w:val="22"/>
        </w:rPr>
        <w:t>5.3 Scalability Pathways and Models</w:t>
      </w:r>
    </w:p>
    <w:p>
      <w:pPr>
        <w:spacing w:after="160" w:before="0" w:line="360" w:lineRule="auto"/>
        <w:jc w:val="both"/>
      </w:pPr>
      <w:r>
        <w:rPr>
          <w:rFonts w:ascii="Montserrat" w:hAnsi="Montserrat" w:eastAsia="Montserrat" w:cs="Montserrat"/>
          <w:b w:val="0"/>
          <w:i w:val="0"/>
          <w:sz w:val="22"/>
        </w:rPr>
        <w:t>Depth before geography. Rwanda ESL first. Institutional partner seats second. A second country last, and only after mentor-ratio, freshness, and quality pulses hold.</w:t>
      </w:r>
    </w:p>
    <w:p>
      <w:pPr>
        <w:spacing w:after="160" w:before="0" w:line="360" w:lineRule="auto"/>
        <w:jc w:val="both"/>
      </w:pPr>
      <w:r>
        <w:rPr>
          <w:rFonts w:ascii="Montserrat" w:hAnsi="Montserrat" w:eastAsia="Montserrat" w:cs="Montserrat"/>
          <w:b w:val="0"/>
          <w:i w:val="0"/>
          <w:sz w:val="22"/>
        </w:rPr>
        <w:t>What not to scale: a pan-African catalogue with no ops calendar; a paywalled scholar core; automated punitive risk action; Skill-Link commercial pricing as JointHub fees.</w:t>
      </w:r>
    </w:p>
    <w:p>
      <w:pPr>
        <w:spacing w:after="120" w:before="240" w:line="276" w:lineRule="auto"/>
        <w:jc w:val="left"/>
      </w:pPr>
      <w:r>
        <w:rPr>
          <w:rFonts w:ascii="Montserrat" w:hAnsi="Montserrat" w:eastAsia="Montserrat" w:cs="Montserrat"/>
          <w:b/>
          <w:i w:val="0"/>
          <w:color w:val="0D1B2A"/>
          <w:sz w:val="22"/>
        </w:rPr>
        <w:t>5.4 Partnership and Ecosystem Strategy</w:t>
      </w:r>
    </w:p>
    <w:p>
      <w:pPr>
        <w:spacing w:after="160" w:before="0" w:line="360" w:lineRule="auto"/>
        <w:jc w:val="both"/>
      </w:pPr>
      <w:r>
        <w:rPr>
          <w:rFonts w:ascii="Montserrat" w:hAnsi="Montserrat" w:eastAsia="Montserrat" w:cs="Montserrat"/>
          <w:b w:val="0"/>
          <w:i w:val="0"/>
          <w:sz w:val="22"/>
        </w:rPr>
        <w:t>Priority partners are universities, fellowship networks, and Kigali youth programmes that can supply scholars and mentors without forcing JointHub to become their LMS. ALU is the assessment and ecosystem context, not a claimed institutional owner of the product. Public employment and TVET programmes are policy-compatible (Kporon, n.d.; RDB, 2019) but are not reported as contracted distribution.</w:t>
      </w:r>
    </w:p>
    <w:p>
      <w:pPr>
        <w:spacing w:after="120" w:before="240" w:line="276" w:lineRule="auto"/>
        <w:jc w:val="left"/>
      </w:pPr>
      <w:r>
        <w:rPr>
          <w:rFonts w:ascii="Montserrat" w:hAnsi="Montserrat" w:eastAsia="Montserrat" w:cs="Montserrat"/>
          <w:b/>
          <w:i w:val="0"/>
          <w:color w:val="0D1B2A"/>
          <w:sz w:val="22"/>
        </w:rPr>
        <w:t>5.5 Future Risks and Mitigation</w:t>
      </w:r>
    </w:p>
    <w:tbl>
      <w:tblPr>
        <w:tblW w:type="auto" w:w="0"/>
        <w:jc w:val="center"/>
        <w:tblLayout w:type="autofit"/>
        <w:tblLook w:firstColumn="1" w:firstRow="1" w:lastColumn="0" w:lastRow="0" w:noHBand="0" w:noVBand="1" w:val="04A0"/>
      </w:tblPr>
      <w:tblGrid>
        <w:gridCol w:w="2889"/>
        <w:gridCol w:w="2889"/>
        <w:gridCol w:w="2889"/>
      </w:tblGrid>
      <w:tr>
        <w:tc>
          <w:tcPr>
            <w:tcW w:type="dxa" w:w="2889"/>
            <w:tcBorders>
              <w:top w:val="single" w:sz="4" w:space="0" w:color="D6D3D1"/>
              <w:left w:val="single" w:sz="4" w:space="0" w:color="D6D3D1"/>
              <w:bottom w:val="single" w:sz="4" w:space="0" w:color="D6D3D1"/>
              <w:right w:val="single" w:sz="4" w:space="0" w:color="D6D3D1"/>
            </w:tcBorders>
            <w:shd w:fill="0D1B2A" w:val="clear"/>
          </w:tcPr>
          <w:p>
            <w:pPr>
              <w:spacing w:after="40" w:before="40" w:line="240" w:lineRule="auto"/>
              <w:jc w:val="left"/>
            </w:pPr>
            <w:r>
              <w:rPr>
                <w:color w:val="FFFFFF"/>
              </w:rPr>
            </w:r>
            <w:r>
              <w:rPr>
                <w:rFonts w:ascii="Montserrat" w:hAnsi="Montserrat" w:eastAsia="Montserrat" w:cs="Montserrat"/>
                <w:b/>
                <w:i w:val="0"/>
                <w:color w:val="FFFFFF"/>
                <w:sz w:val="20"/>
              </w:rPr>
              <w:t>Barrier</w:t>
            </w:r>
          </w:p>
        </w:tc>
        <w:tc>
          <w:tcPr>
            <w:tcW w:type="dxa" w:w="2889"/>
            <w:tcBorders>
              <w:top w:val="single" w:sz="4" w:space="0" w:color="D6D3D1"/>
              <w:left w:val="single" w:sz="4" w:space="0" w:color="D6D3D1"/>
              <w:bottom w:val="single" w:sz="4" w:space="0" w:color="D6D3D1"/>
              <w:right w:val="single" w:sz="4" w:space="0" w:color="D6D3D1"/>
            </w:tcBorders>
            <w:shd w:fill="0D1B2A" w:val="clear"/>
          </w:tcPr>
          <w:p>
            <w:pPr>
              <w:spacing w:after="40" w:before="40" w:line="240" w:lineRule="auto"/>
              <w:jc w:val="left"/>
            </w:pPr>
            <w:r>
              <w:rPr>
                <w:color w:val="FFFFFF"/>
              </w:rPr>
            </w:r>
            <w:r>
              <w:rPr>
                <w:rFonts w:ascii="Montserrat" w:hAnsi="Montserrat" w:eastAsia="Montserrat" w:cs="Montserrat"/>
                <w:b/>
                <w:i w:val="0"/>
                <w:color w:val="FFFFFF"/>
                <w:sz w:val="20"/>
              </w:rPr>
              <w:t>Why it matters</w:t>
            </w:r>
          </w:p>
        </w:tc>
        <w:tc>
          <w:tcPr>
            <w:tcW w:type="dxa" w:w="2889"/>
            <w:tcBorders>
              <w:top w:val="single" w:sz="4" w:space="0" w:color="D6D3D1"/>
              <w:left w:val="single" w:sz="4" w:space="0" w:color="D6D3D1"/>
              <w:bottom w:val="single" w:sz="4" w:space="0" w:color="D6D3D1"/>
              <w:right w:val="single" w:sz="4" w:space="0" w:color="D6D3D1"/>
            </w:tcBorders>
            <w:shd w:fill="0D1B2A" w:val="clear"/>
          </w:tcPr>
          <w:p>
            <w:pPr>
              <w:spacing w:after="40" w:before="40" w:line="240" w:lineRule="auto"/>
              <w:jc w:val="left"/>
            </w:pPr>
            <w:r>
              <w:rPr>
                <w:color w:val="FFFFFF"/>
              </w:rPr>
            </w:r>
            <w:r>
              <w:rPr>
                <w:rFonts w:ascii="Montserrat" w:hAnsi="Montserrat" w:eastAsia="Montserrat" w:cs="Montserrat"/>
                <w:b/>
                <w:i w:val="0"/>
                <w:color w:val="FFFFFF"/>
                <w:sz w:val="20"/>
              </w:rPr>
              <w:t>Mitigation</w:t>
            </w:r>
          </w:p>
        </w:tc>
      </w:tr>
      <w:tr>
        <w:tc>
          <w:tcPr>
            <w:tcW w:type="dxa" w:w="2889"/>
            <w:tcBorders>
              <w:top w:val="single" w:sz="4" w:space="0" w:color="D6D3D1"/>
              <w:left w:val="single" w:sz="4" w:space="0" w:color="D6D3D1"/>
              <w:bottom w:val="single" w:sz="4" w:space="0" w:color="D6D3D1"/>
              <w:right w:val="single" w:sz="4" w:space="0" w:color="D6D3D1"/>
            </w:tcBorders>
          </w:tcPr>
          <w:p>
            <w:pPr>
              <w:spacing w:after="40" w:before="40" w:line="240" w:lineRule="auto"/>
              <w:jc w:val="left"/>
            </w:pPr>
            <w:r/>
            <w:r>
              <w:rPr>
                <w:rFonts w:ascii="Montserrat" w:hAnsi="Montserrat" w:eastAsia="Montserrat" w:cs="Montserrat"/>
                <w:b w:val="0"/>
                <w:i w:val="0"/>
                <w:sz w:val="20"/>
              </w:rPr>
              <w:t>Founder transition without board</w:t>
            </w:r>
          </w:p>
        </w:tc>
        <w:tc>
          <w:tcPr>
            <w:tcW w:type="dxa" w:w="2889"/>
            <w:tcBorders>
              <w:top w:val="single" w:sz="4" w:space="0" w:color="D6D3D1"/>
              <w:left w:val="single" w:sz="4" w:space="0" w:color="D6D3D1"/>
              <w:bottom w:val="single" w:sz="4" w:space="0" w:color="D6D3D1"/>
              <w:right w:val="single" w:sz="4" w:space="0" w:color="D6D3D1"/>
            </w:tcBorders>
          </w:tcPr>
          <w:p>
            <w:pPr>
              <w:spacing w:after="40" w:before="40" w:line="240" w:lineRule="auto"/>
              <w:jc w:val="left"/>
            </w:pPr>
            <w:r/>
            <w:r>
              <w:rPr>
                <w:rFonts w:ascii="Montserrat" w:hAnsi="Montserrat" w:eastAsia="Montserrat" w:cs="Montserrat"/>
                <w:b w:val="0"/>
                <w:i w:val="0"/>
                <w:sz w:val="20"/>
              </w:rPr>
              <w:t>Impact panel becomes founder memory</w:t>
            </w:r>
          </w:p>
        </w:tc>
        <w:tc>
          <w:tcPr>
            <w:tcW w:type="dxa" w:w="2889"/>
            <w:tcBorders>
              <w:top w:val="single" w:sz="4" w:space="0" w:color="D6D3D1"/>
              <w:left w:val="single" w:sz="4" w:space="0" w:color="D6D3D1"/>
              <w:bottom w:val="single" w:sz="4" w:space="0" w:color="D6D3D1"/>
              <w:right w:val="single" w:sz="4" w:space="0" w:color="D6D3D1"/>
            </w:tcBorders>
          </w:tcPr>
          <w:p>
            <w:pPr>
              <w:spacing w:after="40" w:before="40" w:line="240" w:lineRule="auto"/>
              <w:jc w:val="left"/>
            </w:pPr>
            <w:r/>
            <w:r>
              <w:rPr>
                <w:rFonts w:ascii="Montserrat" w:hAnsi="Montserrat" w:eastAsia="Montserrat" w:cs="Montserrat"/>
                <w:b w:val="0"/>
                <w:i w:val="0"/>
                <w:sz w:val="20"/>
              </w:rPr>
              <w:t>Finance/legal trustees; succession pack</w:t>
            </w:r>
          </w:p>
        </w:tc>
      </w:tr>
      <w:tr>
        <w:tc>
          <w:tcPr>
            <w:tcW w:type="dxa" w:w="2889"/>
            <w:tcBorders>
              <w:top w:val="single" w:sz="4" w:space="0" w:color="D6D3D1"/>
              <w:left w:val="single" w:sz="4" w:space="0" w:color="D6D3D1"/>
              <w:bottom w:val="single" w:sz="4" w:space="0" w:color="D6D3D1"/>
              <w:right w:val="single" w:sz="4" w:space="0" w:color="D6D3D1"/>
            </w:tcBorders>
            <w:shd w:fill="F4F1EE" w:val="clear"/>
          </w:tcPr>
          <w:p>
            <w:pPr>
              <w:spacing w:after="40" w:before="40" w:line="240" w:lineRule="auto"/>
              <w:jc w:val="left"/>
            </w:pPr>
            <w:r/>
            <w:r>
              <w:rPr>
                <w:rFonts w:ascii="Montserrat" w:hAnsi="Montserrat" w:eastAsia="Montserrat" w:cs="Montserrat"/>
                <w:b w:val="0"/>
                <w:i w:val="0"/>
                <w:sz w:val="20"/>
              </w:rPr>
              <w:t>Grant concentration / delayed awards</w:t>
            </w:r>
          </w:p>
        </w:tc>
        <w:tc>
          <w:tcPr>
            <w:tcW w:type="dxa" w:w="2889"/>
            <w:tcBorders>
              <w:top w:val="single" w:sz="4" w:space="0" w:color="D6D3D1"/>
              <w:left w:val="single" w:sz="4" w:space="0" w:color="D6D3D1"/>
              <w:bottom w:val="single" w:sz="4" w:space="0" w:color="D6D3D1"/>
              <w:right w:val="single" w:sz="4" w:space="0" w:color="D6D3D1"/>
            </w:tcBorders>
            <w:shd w:fill="F4F1EE" w:val="clear"/>
          </w:tcPr>
          <w:p>
            <w:pPr>
              <w:spacing w:after="40" w:before="40" w:line="240" w:lineRule="auto"/>
              <w:jc w:val="left"/>
            </w:pPr>
            <w:r/>
            <w:r>
              <w:rPr>
                <w:rFonts w:ascii="Montserrat" w:hAnsi="Montserrat" w:eastAsia="Montserrat" w:cs="Montserrat"/>
                <w:b w:val="0"/>
                <w:i w:val="0"/>
                <w:sz w:val="20"/>
              </w:rPr>
              <w:t>Freeze on mentors and curation</w:t>
            </w:r>
          </w:p>
        </w:tc>
        <w:tc>
          <w:tcPr>
            <w:tcW w:type="dxa" w:w="2889"/>
            <w:tcBorders>
              <w:top w:val="single" w:sz="4" w:space="0" w:color="D6D3D1"/>
              <w:left w:val="single" w:sz="4" w:space="0" w:color="D6D3D1"/>
              <w:bottom w:val="single" w:sz="4" w:space="0" w:color="D6D3D1"/>
              <w:right w:val="single" w:sz="4" w:space="0" w:color="D6D3D1"/>
            </w:tcBorders>
            <w:shd w:fill="F4F1EE" w:val="clear"/>
          </w:tcPr>
          <w:p>
            <w:pPr>
              <w:spacing w:after="40" w:before="40" w:line="240" w:lineRule="auto"/>
              <w:jc w:val="left"/>
            </w:pPr>
            <w:r/>
            <w:r>
              <w:rPr>
                <w:rFonts w:ascii="Montserrat" w:hAnsi="Montserrat" w:eastAsia="Montserrat" w:cs="Montserrat"/>
                <w:b w:val="0"/>
                <w:i w:val="0"/>
                <w:sz w:val="20"/>
              </w:rPr>
              <w:t>Diversified pipeline; 6-month runway</w:t>
            </w:r>
          </w:p>
        </w:tc>
      </w:tr>
      <w:tr>
        <w:tc>
          <w:tcPr>
            <w:tcW w:type="dxa" w:w="2889"/>
            <w:tcBorders>
              <w:top w:val="single" w:sz="4" w:space="0" w:color="D6D3D1"/>
              <w:left w:val="single" w:sz="4" w:space="0" w:color="D6D3D1"/>
              <w:bottom w:val="single" w:sz="4" w:space="0" w:color="D6D3D1"/>
              <w:right w:val="single" w:sz="4" w:space="0" w:color="D6D3D1"/>
            </w:tcBorders>
          </w:tcPr>
          <w:p>
            <w:pPr>
              <w:spacing w:after="40" w:before="40" w:line="240" w:lineRule="auto"/>
              <w:jc w:val="left"/>
            </w:pPr>
            <w:r/>
            <w:r>
              <w:rPr>
                <w:rFonts w:ascii="Montserrat" w:hAnsi="Montserrat" w:eastAsia="Montserrat" w:cs="Montserrat"/>
                <w:b w:val="0"/>
                <w:i w:val="0"/>
                <w:sz w:val="20"/>
              </w:rPr>
              <w:t>Skills mismatch and weak job quality</w:t>
            </w:r>
          </w:p>
        </w:tc>
        <w:tc>
          <w:tcPr>
            <w:tcW w:type="dxa" w:w="2889"/>
            <w:tcBorders>
              <w:top w:val="single" w:sz="4" w:space="0" w:color="D6D3D1"/>
              <w:left w:val="single" w:sz="4" w:space="0" w:color="D6D3D1"/>
              <w:bottom w:val="single" w:sz="4" w:space="0" w:color="D6D3D1"/>
              <w:right w:val="single" w:sz="4" w:space="0" w:color="D6D3D1"/>
            </w:tcBorders>
          </w:tcPr>
          <w:p>
            <w:pPr>
              <w:spacing w:after="40" w:before="40" w:line="240" w:lineRule="auto"/>
              <w:jc w:val="left"/>
            </w:pPr>
            <w:r/>
            <w:r>
              <w:rPr>
                <w:rFonts w:ascii="Montserrat" w:hAnsi="Montserrat" w:eastAsia="Montserrat" w:cs="Montserrat"/>
                <w:b w:val="0"/>
                <w:i w:val="0"/>
                <w:sz w:val="20"/>
              </w:rPr>
              <w:t>Platform “success” without pathways</w:t>
            </w:r>
          </w:p>
        </w:tc>
        <w:tc>
          <w:tcPr>
            <w:tcW w:type="dxa" w:w="2889"/>
            <w:tcBorders>
              <w:top w:val="single" w:sz="4" w:space="0" w:color="D6D3D1"/>
              <w:left w:val="single" w:sz="4" w:space="0" w:color="D6D3D1"/>
              <w:bottom w:val="single" w:sz="4" w:space="0" w:color="D6D3D1"/>
              <w:right w:val="single" w:sz="4" w:space="0" w:color="D6D3D1"/>
            </w:tcBorders>
          </w:tcPr>
          <w:p>
            <w:pPr>
              <w:spacing w:after="40" w:before="40" w:line="240" w:lineRule="auto"/>
              <w:jc w:val="left"/>
            </w:pPr>
            <w:r/>
            <w:r>
              <w:rPr>
                <w:rFonts w:ascii="Montserrat" w:hAnsi="Montserrat" w:eastAsia="Montserrat" w:cs="Montserrat"/>
                <w:b w:val="0"/>
                <w:i w:val="0"/>
                <w:sz w:val="20"/>
              </w:rPr>
              <w:t>Quality filters; no jobs-programme claim</w:t>
            </w:r>
          </w:p>
        </w:tc>
      </w:tr>
      <w:tr>
        <w:tc>
          <w:tcPr>
            <w:tcW w:type="dxa" w:w="2889"/>
            <w:tcBorders>
              <w:top w:val="single" w:sz="4" w:space="0" w:color="D6D3D1"/>
              <w:left w:val="single" w:sz="4" w:space="0" w:color="D6D3D1"/>
              <w:bottom w:val="single" w:sz="4" w:space="0" w:color="D6D3D1"/>
              <w:right w:val="single" w:sz="4" w:space="0" w:color="D6D3D1"/>
            </w:tcBorders>
            <w:shd w:fill="F4F1EE" w:val="clear"/>
          </w:tcPr>
          <w:p>
            <w:pPr>
              <w:spacing w:after="40" w:before="40" w:line="240" w:lineRule="auto"/>
              <w:jc w:val="left"/>
            </w:pPr>
            <w:r/>
            <w:r>
              <w:rPr>
                <w:rFonts w:ascii="Montserrat" w:hAnsi="Montserrat" w:eastAsia="Montserrat" w:cs="Montserrat"/>
                <w:b w:val="0"/>
                <w:i w:val="0"/>
                <w:sz w:val="20"/>
              </w:rPr>
              <w:t>Liquidity limits on youth ventures</w:t>
            </w:r>
          </w:p>
        </w:tc>
        <w:tc>
          <w:tcPr>
            <w:tcW w:type="dxa" w:w="2889"/>
            <w:tcBorders>
              <w:top w:val="single" w:sz="4" w:space="0" w:color="D6D3D1"/>
              <w:left w:val="single" w:sz="4" w:space="0" w:color="D6D3D1"/>
              <w:bottom w:val="single" w:sz="4" w:space="0" w:color="D6D3D1"/>
              <w:right w:val="single" w:sz="4" w:space="0" w:color="D6D3D1"/>
            </w:tcBorders>
            <w:shd w:fill="F4F1EE" w:val="clear"/>
          </w:tcPr>
          <w:p>
            <w:pPr>
              <w:spacing w:after="40" w:before="40" w:line="240" w:lineRule="auto"/>
              <w:jc w:val="left"/>
            </w:pPr>
            <w:r/>
            <w:r>
              <w:rPr>
                <w:rFonts w:ascii="Montserrat" w:hAnsi="Montserrat" w:eastAsia="Montserrat" w:cs="Montserrat"/>
                <w:b w:val="0"/>
                <w:i w:val="0"/>
                <w:sz w:val="20"/>
              </w:rPr>
              <w:t>Training gains may not convert</w:t>
            </w:r>
          </w:p>
        </w:tc>
        <w:tc>
          <w:tcPr>
            <w:tcW w:type="dxa" w:w="2889"/>
            <w:tcBorders>
              <w:top w:val="single" w:sz="4" w:space="0" w:color="D6D3D1"/>
              <w:left w:val="single" w:sz="4" w:space="0" w:color="D6D3D1"/>
              <w:bottom w:val="single" w:sz="4" w:space="0" w:color="D6D3D1"/>
              <w:right w:val="single" w:sz="4" w:space="0" w:color="D6D3D1"/>
            </w:tcBorders>
            <w:shd w:fill="F4F1EE" w:val="clear"/>
          </w:tcPr>
          <w:p>
            <w:pPr>
              <w:spacing w:after="40" w:before="40" w:line="240" w:lineRule="auto"/>
              <w:jc w:val="left"/>
            </w:pPr>
            <w:r/>
            <w:r>
              <w:rPr>
                <w:rFonts w:ascii="Montserrat" w:hAnsi="Montserrat" w:eastAsia="Montserrat" w:cs="Montserrat"/>
                <w:b w:val="0"/>
                <w:i w:val="0"/>
                <w:sz w:val="20"/>
              </w:rPr>
              <w:t>Pair guidance with scholarship navigation (McIntosh &amp; Zeitlin, 2022)</w:t>
            </w:r>
          </w:p>
        </w:tc>
      </w:tr>
      <w:tr>
        <w:tc>
          <w:tcPr>
            <w:tcW w:type="dxa" w:w="2889"/>
            <w:tcBorders>
              <w:top w:val="single" w:sz="4" w:space="0" w:color="D6D3D1"/>
              <w:left w:val="single" w:sz="4" w:space="0" w:color="D6D3D1"/>
              <w:bottom w:val="single" w:sz="4" w:space="0" w:color="D6D3D1"/>
              <w:right w:val="single" w:sz="4" w:space="0" w:color="D6D3D1"/>
            </w:tcBorders>
          </w:tcPr>
          <w:p>
            <w:pPr>
              <w:spacing w:after="40" w:before="40" w:line="240" w:lineRule="auto"/>
              <w:jc w:val="left"/>
            </w:pPr>
            <w:r/>
            <w:r>
              <w:rPr>
                <w:rFonts w:ascii="Montserrat" w:hAnsi="Montserrat" w:eastAsia="Montserrat" w:cs="Montserrat"/>
                <w:b w:val="0"/>
                <w:i w:val="0"/>
                <w:sz w:val="20"/>
              </w:rPr>
              <w:t>Erosion of 100% / 88% outcomes</w:t>
            </w:r>
          </w:p>
        </w:tc>
        <w:tc>
          <w:tcPr>
            <w:tcW w:type="dxa" w:w="2889"/>
            <w:tcBorders>
              <w:top w:val="single" w:sz="4" w:space="0" w:color="D6D3D1"/>
              <w:left w:val="single" w:sz="4" w:space="0" w:color="D6D3D1"/>
              <w:bottom w:val="single" w:sz="4" w:space="0" w:color="D6D3D1"/>
              <w:right w:val="single" w:sz="4" w:space="0" w:color="D6D3D1"/>
            </w:tcBorders>
          </w:tcPr>
          <w:p>
            <w:pPr>
              <w:spacing w:after="40" w:before="40" w:line="240" w:lineRule="auto"/>
              <w:jc w:val="left"/>
            </w:pPr>
            <w:r/>
            <w:r>
              <w:rPr>
                <w:rFonts w:ascii="Montserrat" w:hAnsi="Montserrat" w:eastAsia="Montserrat" w:cs="Montserrat"/>
                <w:b w:val="0"/>
                <w:i w:val="0"/>
                <w:sz w:val="20"/>
              </w:rPr>
              <w:t>Quality collapse under rushed scale</w:t>
            </w:r>
          </w:p>
        </w:tc>
        <w:tc>
          <w:tcPr>
            <w:tcW w:type="dxa" w:w="2889"/>
            <w:tcBorders>
              <w:top w:val="single" w:sz="4" w:space="0" w:color="D6D3D1"/>
              <w:left w:val="single" w:sz="4" w:space="0" w:color="D6D3D1"/>
              <w:bottom w:val="single" w:sz="4" w:space="0" w:color="D6D3D1"/>
              <w:right w:val="single" w:sz="4" w:space="0" w:color="D6D3D1"/>
            </w:tcBorders>
          </w:tcPr>
          <w:p>
            <w:pPr>
              <w:spacing w:after="40" w:before="40" w:line="240" w:lineRule="auto"/>
              <w:jc w:val="left"/>
            </w:pPr>
            <w:r/>
            <w:r>
              <w:rPr>
                <w:rFonts w:ascii="Montserrat" w:hAnsi="Montserrat" w:eastAsia="Montserrat" w:cs="Montserrat"/>
                <w:b w:val="0"/>
                <w:i w:val="0"/>
                <w:sz w:val="20"/>
              </w:rPr>
              <w:t>Mentor SLAs; cohort caps</w:t>
            </w:r>
          </w:p>
        </w:tc>
      </w:tr>
      <w:tr>
        <w:tc>
          <w:tcPr>
            <w:tcW w:type="dxa" w:w="2889"/>
            <w:tcBorders>
              <w:top w:val="single" w:sz="4" w:space="0" w:color="D6D3D1"/>
              <w:left w:val="single" w:sz="4" w:space="0" w:color="D6D3D1"/>
              <w:bottom w:val="single" w:sz="4" w:space="0" w:color="D6D3D1"/>
              <w:right w:val="single" w:sz="4" w:space="0" w:color="D6D3D1"/>
            </w:tcBorders>
            <w:shd w:fill="F4F1EE" w:val="clear"/>
          </w:tcPr>
          <w:p>
            <w:pPr>
              <w:spacing w:after="40" w:before="40" w:line="240" w:lineRule="auto"/>
              <w:jc w:val="left"/>
            </w:pPr>
            <w:r/>
            <w:r>
              <w:rPr>
                <w:rFonts w:ascii="Montserrat" w:hAnsi="Montserrat" w:eastAsia="Montserrat" w:cs="Montserrat"/>
                <w:b w:val="0"/>
                <w:i w:val="0"/>
                <w:sz w:val="20"/>
              </w:rPr>
              <w:t>AI overclaim</w:t>
            </w:r>
          </w:p>
        </w:tc>
        <w:tc>
          <w:tcPr>
            <w:tcW w:type="dxa" w:w="2889"/>
            <w:tcBorders>
              <w:top w:val="single" w:sz="4" w:space="0" w:color="D6D3D1"/>
              <w:left w:val="single" w:sz="4" w:space="0" w:color="D6D3D1"/>
              <w:bottom w:val="single" w:sz="4" w:space="0" w:color="D6D3D1"/>
              <w:right w:val="single" w:sz="4" w:space="0" w:color="D6D3D1"/>
            </w:tcBorders>
            <w:shd w:fill="F4F1EE" w:val="clear"/>
          </w:tcPr>
          <w:p>
            <w:pPr>
              <w:spacing w:after="40" w:before="40" w:line="240" w:lineRule="auto"/>
              <w:jc w:val="left"/>
            </w:pPr>
            <w:r/>
            <w:r>
              <w:rPr>
                <w:rFonts w:ascii="Montserrat" w:hAnsi="Montserrat" w:eastAsia="Montserrat" w:cs="Montserrat"/>
                <w:b w:val="0"/>
                <w:i w:val="0"/>
                <w:sz w:val="20"/>
              </w:rPr>
              <w:t>Legitimacy loss</w:t>
            </w:r>
          </w:p>
        </w:tc>
        <w:tc>
          <w:tcPr>
            <w:tcW w:type="dxa" w:w="2889"/>
            <w:tcBorders>
              <w:top w:val="single" w:sz="4" w:space="0" w:color="D6D3D1"/>
              <w:left w:val="single" w:sz="4" w:space="0" w:color="D6D3D1"/>
              <w:bottom w:val="single" w:sz="4" w:space="0" w:color="D6D3D1"/>
              <w:right w:val="single" w:sz="4" w:space="0" w:color="D6D3D1"/>
            </w:tcBorders>
            <w:shd w:fill="F4F1EE" w:val="clear"/>
          </w:tcPr>
          <w:p>
            <w:pPr>
              <w:spacing w:after="40" w:before="40" w:line="240" w:lineRule="auto"/>
              <w:jc w:val="left"/>
            </w:pPr>
            <w:r/>
            <w:r>
              <w:rPr>
                <w:rFonts w:ascii="Montserrat" w:hAnsi="Montserrat" w:eastAsia="Montserrat" w:cs="Montserrat"/>
                <w:b w:val="0"/>
                <w:i w:val="0"/>
                <w:sz w:val="20"/>
              </w:rPr>
              <w:t>Live labels; public AI policy; bias audit</w:t>
            </w:r>
          </w:p>
        </w:tc>
      </w:tr>
      <w:tr>
        <w:tc>
          <w:tcPr>
            <w:tcW w:type="dxa" w:w="2889"/>
            <w:tcBorders>
              <w:top w:val="single" w:sz="4" w:space="0" w:color="D6D3D1"/>
              <w:left w:val="single" w:sz="4" w:space="0" w:color="D6D3D1"/>
              <w:bottom w:val="single" w:sz="4" w:space="0" w:color="D6D3D1"/>
              <w:right w:val="single" w:sz="4" w:space="0" w:color="D6D3D1"/>
            </w:tcBorders>
          </w:tcPr>
          <w:p>
            <w:pPr>
              <w:spacing w:after="40" w:before="40" w:line="240" w:lineRule="auto"/>
              <w:jc w:val="left"/>
            </w:pPr>
            <w:r/>
            <w:r>
              <w:rPr>
                <w:rFonts w:ascii="Montserrat" w:hAnsi="Montserrat" w:eastAsia="Montserrat" w:cs="Montserrat"/>
                <w:b w:val="0"/>
                <w:i w:val="0"/>
                <w:sz w:val="20"/>
              </w:rPr>
              <w:t>Mentor supply collapse</w:t>
            </w:r>
          </w:p>
        </w:tc>
        <w:tc>
          <w:tcPr>
            <w:tcW w:type="dxa" w:w="2889"/>
            <w:tcBorders>
              <w:top w:val="single" w:sz="4" w:space="0" w:color="D6D3D1"/>
              <w:left w:val="single" w:sz="4" w:space="0" w:color="D6D3D1"/>
              <w:bottom w:val="single" w:sz="4" w:space="0" w:color="D6D3D1"/>
              <w:right w:val="single" w:sz="4" w:space="0" w:color="D6D3D1"/>
            </w:tcBorders>
          </w:tcPr>
          <w:p>
            <w:pPr>
              <w:spacing w:after="40" w:before="40" w:line="240" w:lineRule="auto"/>
              <w:jc w:val="left"/>
            </w:pPr>
            <w:r/>
            <w:r>
              <w:rPr>
                <w:rFonts w:ascii="Montserrat" w:hAnsi="Montserrat" w:eastAsia="Montserrat" w:cs="Montserrat"/>
                <w:b w:val="0"/>
                <w:i w:val="0"/>
                <w:sz w:val="20"/>
              </w:rPr>
              <w:t>Matching quality dies</w:t>
            </w:r>
          </w:p>
        </w:tc>
        <w:tc>
          <w:tcPr>
            <w:tcW w:type="dxa" w:w="2889"/>
            <w:tcBorders>
              <w:top w:val="single" w:sz="4" w:space="0" w:color="D6D3D1"/>
              <w:left w:val="single" w:sz="4" w:space="0" w:color="D6D3D1"/>
              <w:bottom w:val="single" w:sz="4" w:space="0" w:color="D6D3D1"/>
              <w:right w:val="single" w:sz="4" w:space="0" w:color="D6D3D1"/>
            </w:tcBorders>
          </w:tcPr>
          <w:p>
            <w:pPr>
              <w:spacing w:after="40" w:before="40" w:line="240" w:lineRule="auto"/>
              <w:jc w:val="left"/>
            </w:pPr>
            <w:r/>
            <w:r>
              <w:rPr>
                <w:rFonts w:ascii="Montserrat" w:hAnsi="Montserrat" w:eastAsia="Montserrat" w:cs="Montserrat"/>
                <w:b w:val="0"/>
                <w:i w:val="0"/>
                <w:sz w:val="20"/>
              </w:rPr>
              <w:t>Recruit before geo expansion</w:t>
            </w:r>
          </w:p>
        </w:tc>
      </w:tr>
      <w:tr>
        <w:tc>
          <w:tcPr>
            <w:tcW w:type="dxa" w:w="2889"/>
            <w:tcBorders>
              <w:top w:val="single" w:sz="4" w:space="0" w:color="D6D3D1"/>
              <w:left w:val="single" w:sz="4" w:space="0" w:color="D6D3D1"/>
              <w:bottom w:val="single" w:sz="4" w:space="0" w:color="D6D3D1"/>
              <w:right w:val="single" w:sz="4" w:space="0" w:color="D6D3D1"/>
            </w:tcBorders>
            <w:shd w:fill="F4F1EE" w:val="clear"/>
          </w:tcPr>
          <w:p>
            <w:pPr>
              <w:spacing w:after="40" w:before="40" w:line="240" w:lineRule="auto"/>
              <w:jc w:val="left"/>
            </w:pPr>
            <w:r/>
            <w:r>
              <w:rPr>
                <w:rFonts w:ascii="Montserrat" w:hAnsi="Montserrat" w:eastAsia="Montserrat" w:cs="Montserrat"/>
                <w:b w:val="0"/>
                <w:i w:val="0"/>
                <w:sz w:val="20"/>
              </w:rPr>
              <w:t>Inventory staleness</w:t>
            </w:r>
          </w:p>
        </w:tc>
        <w:tc>
          <w:tcPr>
            <w:tcW w:type="dxa" w:w="2889"/>
            <w:tcBorders>
              <w:top w:val="single" w:sz="4" w:space="0" w:color="D6D3D1"/>
              <w:left w:val="single" w:sz="4" w:space="0" w:color="D6D3D1"/>
              <w:bottom w:val="single" w:sz="4" w:space="0" w:color="D6D3D1"/>
              <w:right w:val="single" w:sz="4" w:space="0" w:color="D6D3D1"/>
            </w:tcBorders>
            <w:shd w:fill="F4F1EE" w:val="clear"/>
          </w:tcPr>
          <w:p>
            <w:pPr>
              <w:spacing w:after="40" w:before="40" w:line="240" w:lineRule="auto"/>
              <w:jc w:val="left"/>
            </w:pPr>
            <w:r/>
            <w:r>
              <w:rPr>
                <w:rFonts w:ascii="Montserrat" w:hAnsi="Montserrat" w:eastAsia="Montserrat" w:cs="Montserrat"/>
                <w:b w:val="0"/>
                <w:i w:val="0"/>
                <w:sz w:val="20"/>
              </w:rPr>
              <w:t>Trust falls</w:t>
            </w:r>
          </w:p>
        </w:tc>
        <w:tc>
          <w:tcPr>
            <w:tcW w:type="dxa" w:w="2889"/>
            <w:tcBorders>
              <w:top w:val="single" w:sz="4" w:space="0" w:color="D6D3D1"/>
              <w:left w:val="single" w:sz="4" w:space="0" w:color="D6D3D1"/>
              <w:bottom w:val="single" w:sz="4" w:space="0" w:color="D6D3D1"/>
              <w:right w:val="single" w:sz="4" w:space="0" w:color="D6D3D1"/>
            </w:tcBorders>
            <w:shd w:fill="F4F1EE" w:val="clear"/>
          </w:tcPr>
          <w:p>
            <w:pPr>
              <w:spacing w:after="40" w:before="40" w:line="240" w:lineRule="auto"/>
              <w:jc w:val="left"/>
            </w:pPr>
            <w:r/>
            <w:r>
              <w:rPr>
                <w:rFonts w:ascii="Montserrat" w:hAnsi="Montserrat" w:eastAsia="Montserrat" w:cs="Montserrat"/>
                <w:b w:val="0"/>
                <w:i w:val="0"/>
                <w:sz w:val="20"/>
              </w:rPr>
              <w:t>Weekly kill list</w:t>
            </w:r>
          </w:p>
        </w:tc>
      </w:tr>
      <w:tr>
        <w:tc>
          <w:tcPr>
            <w:tcW w:type="dxa" w:w="2889"/>
            <w:tcBorders>
              <w:top w:val="single" w:sz="4" w:space="0" w:color="D6D3D1"/>
              <w:left w:val="single" w:sz="4" w:space="0" w:color="D6D3D1"/>
              <w:bottom w:val="single" w:sz="4" w:space="0" w:color="D6D3D1"/>
              <w:right w:val="single" w:sz="4" w:space="0" w:color="D6D3D1"/>
            </w:tcBorders>
          </w:tcPr>
          <w:p>
            <w:pPr>
              <w:spacing w:after="40" w:before="40" w:line="240" w:lineRule="auto"/>
              <w:jc w:val="left"/>
            </w:pPr>
            <w:r/>
            <w:r>
              <w:rPr>
                <w:rFonts w:ascii="Montserrat" w:hAnsi="Montserrat" w:eastAsia="Montserrat" w:cs="Montserrat"/>
                <w:b w:val="0"/>
                <w:i w:val="0"/>
                <w:sz w:val="20"/>
              </w:rPr>
              <w:t>Scope creep beyond OS wedge</w:t>
            </w:r>
          </w:p>
        </w:tc>
        <w:tc>
          <w:tcPr>
            <w:tcW w:type="dxa" w:w="2889"/>
            <w:tcBorders>
              <w:top w:val="single" w:sz="4" w:space="0" w:color="D6D3D1"/>
              <w:left w:val="single" w:sz="4" w:space="0" w:color="D6D3D1"/>
              <w:bottom w:val="single" w:sz="4" w:space="0" w:color="D6D3D1"/>
              <w:right w:val="single" w:sz="4" w:space="0" w:color="D6D3D1"/>
            </w:tcBorders>
          </w:tcPr>
          <w:p>
            <w:pPr>
              <w:spacing w:after="40" w:before="40" w:line="240" w:lineRule="auto"/>
              <w:jc w:val="left"/>
            </w:pPr>
            <w:r/>
            <w:r>
              <w:rPr>
                <w:rFonts w:ascii="Montserrat" w:hAnsi="Montserrat" w:eastAsia="Montserrat" w:cs="Montserrat"/>
                <w:b w:val="0"/>
                <w:i w:val="0"/>
                <w:sz w:val="20"/>
              </w:rPr>
              <w:t>Becomes a list site</w:t>
            </w:r>
          </w:p>
        </w:tc>
        <w:tc>
          <w:tcPr>
            <w:tcW w:type="dxa" w:w="2889"/>
            <w:tcBorders>
              <w:top w:val="single" w:sz="4" w:space="0" w:color="D6D3D1"/>
              <w:left w:val="single" w:sz="4" w:space="0" w:color="D6D3D1"/>
              <w:bottom w:val="single" w:sz="4" w:space="0" w:color="D6D3D1"/>
              <w:right w:val="single" w:sz="4" w:space="0" w:color="D6D3D1"/>
            </w:tcBorders>
          </w:tcPr>
          <w:p>
            <w:pPr>
              <w:spacing w:after="40" w:before="40" w:line="240" w:lineRule="auto"/>
              <w:jc w:val="left"/>
            </w:pPr>
            <w:r/>
            <w:r>
              <w:rPr>
                <w:rFonts w:ascii="Montserrat" w:hAnsi="Montserrat" w:eastAsia="Montserrat" w:cs="Montserrat"/>
                <w:b w:val="0"/>
                <w:i w:val="0"/>
                <w:sz w:val="20"/>
              </w:rPr>
              <w:t>P0 lock by MD/ED</w:t>
            </w:r>
          </w:p>
        </w:tc>
      </w:tr>
      <w:tr>
        <w:tc>
          <w:tcPr>
            <w:tcW w:type="dxa" w:w="2889"/>
            <w:tcBorders>
              <w:top w:val="single" w:sz="4" w:space="0" w:color="D6D3D1"/>
              <w:left w:val="single" w:sz="4" w:space="0" w:color="D6D3D1"/>
              <w:bottom w:val="single" w:sz="4" w:space="0" w:color="D6D3D1"/>
              <w:right w:val="single" w:sz="4" w:space="0" w:color="D6D3D1"/>
            </w:tcBorders>
            <w:shd w:fill="F4F1EE" w:val="clear"/>
          </w:tcPr>
          <w:p>
            <w:pPr>
              <w:spacing w:after="40" w:before="40" w:line="240" w:lineRule="auto"/>
              <w:jc w:val="left"/>
            </w:pPr>
            <w:r/>
            <w:r>
              <w:rPr>
                <w:rFonts w:ascii="Montserrat" w:hAnsi="Montserrat" w:eastAsia="Montserrat" w:cs="Montserrat"/>
                <w:b w:val="0"/>
                <w:i w:val="0"/>
                <w:sz w:val="20"/>
              </w:rPr>
              <w:t>Compliance gaps</w:t>
            </w:r>
          </w:p>
        </w:tc>
        <w:tc>
          <w:tcPr>
            <w:tcW w:type="dxa" w:w="2889"/>
            <w:tcBorders>
              <w:top w:val="single" w:sz="4" w:space="0" w:color="D6D3D1"/>
              <w:left w:val="single" w:sz="4" w:space="0" w:color="D6D3D1"/>
              <w:bottom w:val="single" w:sz="4" w:space="0" w:color="D6D3D1"/>
              <w:right w:val="single" w:sz="4" w:space="0" w:color="D6D3D1"/>
            </w:tcBorders>
            <w:shd w:fill="F4F1EE" w:val="clear"/>
          </w:tcPr>
          <w:p>
            <w:pPr>
              <w:spacing w:after="40" w:before="40" w:line="240" w:lineRule="auto"/>
              <w:jc w:val="left"/>
            </w:pPr>
            <w:r/>
            <w:r>
              <w:rPr>
                <w:rFonts w:ascii="Montserrat" w:hAnsi="Montserrat" w:eastAsia="Montserrat" w:cs="Montserrat"/>
                <w:b w:val="0"/>
                <w:i w:val="0"/>
                <w:sz w:val="20"/>
              </w:rPr>
              <w:t>Regulatory risk</w:t>
            </w:r>
          </w:p>
        </w:tc>
        <w:tc>
          <w:tcPr>
            <w:tcW w:type="dxa" w:w="2889"/>
            <w:tcBorders>
              <w:top w:val="single" w:sz="4" w:space="0" w:color="D6D3D1"/>
              <w:left w:val="single" w:sz="4" w:space="0" w:color="D6D3D1"/>
              <w:bottom w:val="single" w:sz="4" w:space="0" w:color="D6D3D1"/>
              <w:right w:val="single" w:sz="4" w:space="0" w:color="D6D3D1"/>
            </w:tcBorders>
            <w:shd w:fill="F4F1EE" w:val="clear"/>
          </w:tcPr>
          <w:p>
            <w:pPr>
              <w:spacing w:after="40" w:before="40" w:line="240" w:lineRule="auto"/>
              <w:jc w:val="left"/>
            </w:pPr>
            <w:r/>
            <w:r>
              <w:rPr>
                <w:rFonts w:ascii="Montserrat" w:hAnsi="Montserrat" w:eastAsia="Montserrat" w:cs="Montserrat"/>
                <w:b w:val="0"/>
                <w:i w:val="0"/>
                <w:sz w:val="20"/>
              </w:rPr>
              <w:t>Consent; legal review before production</w:t>
            </w:r>
          </w:p>
        </w:tc>
      </w:tr>
      <w:tr>
        <w:tc>
          <w:tcPr>
            <w:tcW w:type="dxa" w:w="2889"/>
            <w:tcBorders>
              <w:top w:val="single" w:sz="4" w:space="0" w:color="D6D3D1"/>
              <w:left w:val="single" w:sz="4" w:space="0" w:color="D6D3D1"/>
              <w:bottom w:val="single" w:sz="4" w:space="0" w:color="D6D3D1"/>
              <w:right w:val="single" w:sz="4" w:space="0" w:color="D6D3D1"/>
            </w:tcBorders>
          </w:tcPr>
          <w:p>
            <w:pPr>
              <w:spacing w:after="40" w:before="40" w:line="240" w:lineRule="auto"/>
              <w:jc w:val="left"/>
            </w:pPr>
            <w:r/>
            <w:r>
              <w:rPr>
                <w:rFonts w:ascii="Montserrat" w:hAnsi="Montserrat" w:eastAsia="Montserrat" w:cs="Montserrat"/>
                <w:b w:val="0"/>
                <w:i w:val="0"/>
                <w:sz w:val="20"/>
              </w:rPr>
              <w:t>Launch-event overclaim</w:t>
            </w:r>
          </w:p>
        </w:tc>
        <w:tc>
          <w:tcPr>
            <w:tcW w:type="dxa" w:w="2889"/>
            <w:tcBorders>
              <w:top w:val="single" w:sz="4" w:space="0" w:color="D6D3D1"/>
              <w:left w:val="single" w:sz="4" w:space="0" w:color="D6D3D1"/>
              <w:bottom w:val="single" w:sz="4" w:space="0" w:color="D6D3D1"/>
              <w:right w:val="single" w:sz="4" w:space="0" w:color="D6D3D1"/>
            </w:tcBorders>
          </w:tcPr>
          <w:p>
            <w:pPr>
              <w:spacing w:after="40" w:before="40" w:line="240" w:lineRule="auto"/>
              <w:jc w:val="left"/>
            </w:pPr>
            <w:r/>
            <w:r>
              <w:rPr>
                <w:rFonts w:ascii="Montserrat" w:hAnsi="Montserrat" w:eastAsia="Montserrat" w:cs="Montserrat"/>
                <w:b w:val="0"/>
                <w:i w:val="0"/>
                <w:sz w:val="20"/>
              </w:rPr>
              <w:t>Invented bootcamp results</w:t>
            </w:r>
          </w:p>
        </w:tc>
        <w:tc>
          <w:tcPr>
            <w:tcW w:type="dxa" w:w="2889"/>
            <w:tcBorders>
              <w:top w:val="single" w:sz="4" w:space="0" w:color="D6D3D1"/>
              <w:left w:val="single" w:sz="4" w:space="0" w:color="D6D3D1"/>
              <w:bottom w:val="single" w:sz="4" w:space="0" w:color="D6D3D1"/>
              <w:right w:val="single" w:sz="4" w:space="0" w:color="D6D3D1"/>
            </w:tcBorders>
          </w:tcPr>
          <w:p>
            <w:pPr>
              <w:spacing w:after="40" w:before="40" w:line="240" w:lineRule="auto"/>
              <w:jc w:val="left"/>
            </w:pPr>
            <w:r/>
            <w:r>
              <w:rPr>
                <w:rFonts w:ascii="Montserrat" w:hAnsi="Montserrat" w:eastAsia="Montserrat" w:cs="Montserrat"/>
                <w:b w:val="0"/>
                <w:i w:val="0"/>
                <w:sz w:val="20"/>
              </w:rPr>
              <w:t>Report launch only when delivered</w:t>
            </w:r>
          </w:p>
        </w:tc>
      </w:tr>
    </w:tbl>
    <w:p/>
    <w:p>
      <w:pPr>
        <w:spacing w:after="120" w:before="240" w:line="276" w:lineRule="auto"/>
        <w:jc w:val="left"/>
      </w:pPr>
      <w:r>
        <w:rPr>
          <w:rFonts w:ascii="Montserrat" w:hAnsi="Montserrat" w:eastAsia="Montserrat" w:cs="Montserrat"/>
          <w:b/>
          <w:i w:val="0"/>
          <w:color w:val="0D1B2A"/>
          <w:sz w:val="22"/>
        </w:rPr>
        <w:t>5.6 Strategic Recommendations</w:t>
      </w:r>
    </w:p>
    <w:p>
      <w:pPr>
        <w:spacing w:after="160" w:before="0" w:line="360" w:lineRule="auto"/>
        <w:jc w:val="both"/>
      </w:pPr>
      <w:r>
        <w:rPr>
          <w:rFonts w:ascii="Montserrat" w:hAnsi="Montserrat" w:eastAsia="Montserrat" w:cs="Montserrat"/>
          <w:b w:val="0"/>
          <w:i w:val="0"/>
          <w:sz w:val="22"/>
        </w:rPr>
        <w:t>Immediate decisions (this quarter).</w:t>
      </w:r>
    </w:p>
    <w:p>
      <w:pPr>
        <w:pStyle w:val="ListNumber"/>
        <w:spacing w:after="80" w:before="0" w:line="360" w:lineRule="auto"/>
        <w:jc w:val="both"/>
      </w:pPr>
      <w:r>
        <w:rPr>
          <w:rFonts w:ascii="Montserrat" w:hAnsi="Montserrat" w:eastAsia="Montserrat" w:cs="Montserrat"/>
          <w:b w:val="0"/>
          <w:i w:val="0"/>
          <w:sz w:val="22"/>
        </w:rPr>
        <w:t>Freeze P0 on opportunities, Mentor Hub, and risk. Kill non-wedge features.</w:t>
      </w:r>
    </w:p>
    <w:p>
      <w:pPr>
        <w:pStyle w:val="ListNumber"/>
        <w:spacing w:after="80" w:before="0" w:line="360" w:lineRule="auto"/>
        <w:jc w:val="both"/>
      </w:pPr>
      <w:r>
        <w:rPr>
          <w:rFonts w:ascii="Montserrat" w:hAnsi="Montserrat" w:eastAsia="Montserrat" w:cs="Montserrat"/>
          <w:b w:val="0"/>
          <w:i w:val="0"/>
          <w:sz w:val="22"/>
        </w:rPr>
        <w:t>Connect live ESL data and at least 20 real mentors with logged sessions.</w:t>
      </w:r>
    </w:p>
    <w:p>
      <w:pPr>
        <w:pStyle w:val="ListNumber"/>
        <w:spacing w:after="80" w:before="0" w:line="360" w:lineRule="auto"/>
        <w:jc w:val="both"/>
      </w:pPr>
      <w:r>
        <w:rPr>
          <w:rFonts w:ascii="Montserrat" w:hAnsi="Montserrat" w:eastAsia="Montserrat" w:cs="Montserrat"/>
          <w:b w:val="0"/>
          <w:i w:val="0"/>
          <w:sz w:val="22"/>
        </w:rPr>
        <w:t>Seat or complete diligence on finance and legal board candidates.</w:t>
      </w:r>
    </w:p>
    <w:p>
      <w:pPr>
        <w:pStyle w:val="ListNumber"/>
        <w:spacing w:after="80" w:before="0" w:line="360" w:lineRule="auto"/>
        <w:jc w:val="both"/>
      </w:pPr>
      <w:r>
        <w:rPr>
          <w:rFonts w:ascii="Montserrat" w:hAnsi="Montserrat" w:eastAsia="Montserrat" w:cs="Montserrat"/>
          <w:b w:val="0"/>
          <w:i w:val="0"/>
          <w:sz w:val="22"/>
        </w:rPr>
        <w:t>Keep the scholar core free.</w:t>
      </w:r>
    </w:p>
    <w:p>
      <w:pPr>
        <w:pStyle w:val="ListNumber"/>
        <w:spacing w:after="80" w:before="0" w:line="360" w:lineRule="auto"/>
        <w:jc w:val="both"/>
      </w:pPr>
      <w:r>
        <w:rPr>
          <w:rFonts w:ascii="Montserrat" w:hAnsi="Montserrat" w:eastAsia="Montserrat" w:cs="Montserrat"/>
          <w:b w:val="0"/>
          <w:i w:val="0"/>
          <w:sz w:val="22"/>
        </w:rPr>
        <w:t>Do not publish production until ED and MD sign off.</w:t>
      </w:r>
    </w:p>
    <w:p>
      <w:pPr>
        <w:pStyle w:val="ListNumber"/>
        <w:spacing w:after="80" w:before="0" w:line="360" w:lineRule="auto"/>
        <w:jc w:val="both"/>
      </w:pPr>
      <w:r>
        <w:rPr>
          <w:rFonts w:ascii="Montserrat" w:hAnsi="Montserrat" w:eastAsia="Montserrat" w:cs="Montserrat"/>
          <w:b w:val="0"/>
          <w:i w:val="0"/>
          <w:sz w:val="22"/>
        </w:rPr>
        <w:t>Retrain risk models only after live labels exist; until then, keep the synthetic AUC caveat.</w:t>
      </w:r>
    </w:p>
    <w:p>
      <w:pPr>
        <w:pStyle w:val="ListNumber"/>
        <w:spacing w:after="80" w:before="0" w:line="360" w:lineRule="auto"/>
        <w:jc w:val="both"/>
      </w:pPr>
      <w:r>
        <w:rPr>
          <w:rFonts w:ascii="Montserrat" w:hAnsi="Montserrat" w:eastAsia="Montserrat" w:cs="Montserrat"/>
          <w:b w:val="0"/>
          <w:i w:val="0"/>
          <w:sz w:val="22"/>
        </w:rPr>
        <w:t>Use the bootcamp as the launch vehicle for the OS into ESL; do not invent attendance or NPS in the meantime.</w:t>
      </w:r>
    </w:p>
    <w:p>
      <w:pPr>
        <w:spacing w:after="160" w:before="0" w:line="360" w:lineRule="auto"/>
        <w:jc w:val="both"/>
      </w:pPr>
      <w:r>
        <w:rPr>
          <w:rFonts w:ascii="Montserrat" w:hAnsi="Montserrat" w:eastAsia="Montserrat" w:cs="Montserrat"/>
          <w:b w:val="0"/>
          <w:i w:val="0"/>
          <w:sz w:val="22"/>
        </w:rPr>
        <w:t>Do not treat Skill-Link Rwanda pricing as JointHub scholar fees. Do not cite a completed bootcamp. Do not open a second country. Do not present product architecture as a headline impact statistic.</w:t>
      </w:r>
    </w:p>
    <w:p>
      <w:pPr>
        <w:spacing w:after="120" w:before="240" w:line="276" w:lineRule="auto"/>
        <w:jc w:val="left"/>
      </w:pPr>
      <w:r>
        <w:rPr>
          <w:rFonts w:ascii="Montserrat" w:hAnsi="Montserrat" w:eastAsia="Montserrat" w:cs="Montserrat"/>
          <w:b/>
          <w:i w:val="0"/>
          <w:color w:val="0D1B2A"/>
          <w:sz w:val="22"/>
        </w:rPr>
        <w:t>5.7 Implementation Roadmap (6–24 months)</w:t>
      </w:r>
    </w:p>
    <w:p>
      <w:pPr>
        <w:spacing w:after="160" w:before="0" w:line="360" w:lineRule="auto"/>
        <w:jc w:val="both"/>
      </w:pPr>
      <w:r>
        <w:rPr>
          <w:rFonts w:ascii="Montserrat" w:hAnsi="Montserrat" w:eastAsia="Montserrat" w:cs="Montserrat"/>
          <w:b w:val="0"/>
          <w:i w:val="0"/>
          <w:sz w:val="22"/>
        </w:rPr>
        <w:t>Months 0–6. Prove the OS inside ESL. Success: demo-to-live cutover; mentor session completion; outreach response; pulses toward 100% / 88%; runway ≥ 6 months; bootcamp delivered as launch if operations can host it honestly.</w:t>
      </w:r>
    </w:p>
    <w:p>
      <w:pPr>
        <w:spacing w:after="160" w:before="0" w:line="360" w:lineRule="auto"/>
        <w:jc w:val="both"/>
      </w:pPr>
      <w:r>
        <w:rPr>
          <w:rFonts w:ascii="Montserrat" w:hAnsi="Montserrat" w:eastAsia="Montserrat" w:cs="Montserrat"/>
          <w:b w:val="0"/>
          <w:i w:val="0"/>
          <w:sz w:val="22"/>
        </w:rPr>
        <w:t>Months 6–12. Institutionalise and open partner channels. Success: two MoUs signed or near-signed; non-grant cash share rising; board packs on cadence; no critical data incidents.</w:t>
      </w:r>
    </w:p>
    <w:p>
      <w:pPr>
        <w:spacing w:after="160" w:before="0" w:line="360" w:lineRule="auto"/>
        <w:jc w:val="both"/>
      </w:pPr>
      <w:r>
        <w:rPr>
          <w:rFonts w:ascii="Montserrat" w:hAnsi="Montserrat" w:eastAsia="Montserrat" w:cs="Montserrat"/>
          <w:b w:val="0"/>
          <w:i w:val="0"/>
          <w:sz w:val="22"/>
        </w:rPr>
        <w:t>Months 12–24. Partner OS and sequenced expansion. Success: production SLOs; partner cohorts without mentor-ratio collapse; impact panel still board-visible; geographic move only after gates pass.</w:t>
      </w:r>
    </w:p>
    <w:p>
      <w:pPr>
        <w:spacing w:after="120" w:before="240" w:line="276" w:lineRule="auto"/>
        <w:jc w:val="left"/>
      </w:pPr>
      <w:r>
        <w:rPr>
          <w:rFonts w:ascii="Montserrat" w:hAnsi="Montserrat" w:eastAsia="Montserrat" w:cs="Montserrat"/>
          <w:b/>
          <w:i w:val="0"/>
          <w:color w:val="0D1B2A"/>
          <w:sz w:val="22"/>
        </w:rPr>
        <w:t>5.8 Conclusions</w:t>
      </w:r>
    </w:p>
    <w:p>
      <w:pPr>
        <w:spacing w:after="160" w:before="0" w:line="360" w:lineRule="auto"/>
        <w:jc w:val="both"/>
      </w:pPr>
      <w:r>
        <w:rPr>
          <w:rFonts w:ascii="Montserrat" w:hAnsi="Montserrat" w:eastAsia="Montserrat" w:cs="Montserrat"/>
          <w:b w:val="0"/>
          <w:i w:val="0"/>
          <w:sz w:val="22"/>
        </w:rPr>
        <w:t>Capstone I was a Digital Campaign for the SDGs that proposed sustainability education for African youth with SimpleJoint. That logic became ESL: people, cohort, servant leadership. Capstone II built JointHub Africa in Rwanda as The Mentor Hub, the AI-powered Mentorship Dashboard that is the operating system for ESL. It is not a substitute programme.</w:t>
      </w:r>
    </w:p>
    <w:p>
      <w:pPr>
        <w:spacing w:after="160" w:before="0" w:line="360" w:lineRule="auto"/>
        <w:jc w:val="both"/>
      </w:pPr>
      <w:r>
        <w:rPr>
          <w:rFonts w:ascii="Montserrat" w:hAnsi="Montserrat" w:eastAsia="Montserrat" w:cs="Montserrat"/>
          <w:b w:val="0"/>
          <w:i w:val="0"/>
          <w:sz w:val="22"/>
        </w:rPr>
        <w:t>The labour-market case for Rwanda is independent of founder preference: youth unemployment and underutilization remain worse than the adult picture (NISR, 2025); the business plan’s Gasabo evidence shows demand for guidance, matching, and mentorship in hybrid form (Kporon, n.d.); listing sites do not run programme duty of care (SimpleJoint Trust, 2026c). The product proof is staging plus sample KPIs, with AUC 1.00 disallowed as a live claim. The organisational proof remains ESL’s 6+ countries including Rwanda, 153+ opportunities, 85+ students, The Mentor Hub, $158,000+ scholarships and grants, 100% interview confidence, and 88% leadership/service readiness.</w:t>
      </w:r>
    </w:p>
    <w:p>
      <w:pPr>
        <w:spacing w:after="160" w:before="0" w:line="360" w:lineRule="auto"/>
        <w:jc w:val="both"/>
      </w:pPr>
      <w:r>
        <w:rPr>
          <w:rFonts w:ascii="Montserrat" w:hAnsi="Montserrat" w:eastAsia="Montserrat" w:cs="Montserrat"/>
          <w:b w:val="0"/>
          <w:i w:val="0"/>
          <w:sz w:val="22"/>
        </w:rPr>
        <w:t>The correct next move is institutional rather than theatrical: live data, real mentors, board coverage, free scholar core, bootcamp as launch, Rwanda depth first. Evidence before claims.</w:t>
      </w:r>
    </w:p>
    <w:p>
      <w:r>
        <w:br w:type="page"/>
      </w:r>
    </w:p>
    <w:p>
      <w:pPr>
        <w:spacing w:after="240" w:before="0" w:line="276" w:lineRule="auto"/>
        <w:jc w:val="left"/>
      </w:pPr>
      <w:r>
        <w:rPr>
          <w:rFonts w:ascii="Montserrat" w:hAnsi="Montserrat" w:eastAsia="Montserrat" w:cs="Montserrat"/>
          <w:b/>
          <w:i w:val="0"/>
          <w:color w:val="0D1B2A"/>
          <w:sz w:val="24"/>
        </w:rPr>
        <w:t>REFERENCES</w:t>
      </w:r>
    </w:p>
    <w:p>
      <w:pPr>
        <w:spacing w:after="160" w:before="0" w:line="360" w:lineRule="auto"/>
        <w:jc w:val="both"/>
      </w:pPr>
      <w:r>
        <w:rPr>
          <w:rFonts w:ascii="Montserrat" w:hAnsi="Montserrat" w:eastAsia="Montserrat" w:cs="Montserrat"/>
          <w:b w:val="0"/>
          <w:i w:val="0"/>
          <w:sz w:val="22"/>
        </w:rPr>
        <w:t xml:space="preserve">African Development Bank. (2025, July 15). </w:t>
      </w:r>
      <w:r>
        <w:rPr>
          <w:rFonts w:ascii="Montserrat" w:hAnsi="Montserrat" w:eastAsia="Montserrat" w:cs="Montserrat"/>
          <w:b w:val="0"/>
          <w:i/>
          <w:sz w:val="22"/>
        </w:rPr>
        <w:t>World Youth Skills Day: African Development Bank to introduce systems reforms to prioritize investing in Africa’s youth</w:t>
      </w:r>
      <w:r>
        <w:rPr>
          <w:rFonts w:ascii="Montserrat" w:hAnsi="Montserrat" w:eastAsia="Montserrat" w:cs="Montserrat"/>
          <w:b w:val="0"/>
          <w:i w:val="0"/>
          <w:sz w:val="22"/>
        </w:rPr>
        <w:t>. https://www.afdb.org/en/news-and-events/press-releases/world-youth-skills-day-african-development-bank-introduce-systems-reforms-prioritize-investing-africas-youth-85369</w:t>
      </w:r>
    </w:p>
    <w:p>
      <w:pPr>
        <w:spacing w:after="160" w:before="0" w:line="360" w:lineRule="auto"/>
        <w:jc w:val="both"/>
      </w:pPr>
      <w:r>
        <w:rPr>
          <w:rFonts w:ascii="Montserrat" w:hAnsi="Montserrat" w:eastAsia="Montserrat" w:cs="Montserrat"/>
          <w:b w:val="0"/>
          <w:i w:val="0"/>
          <w:sz w:val="22"/>
        </w:rPr>
        <w:t xml:space="preserve">African Leadership University. (2026). </w:t>
      </w:r>
      <w:r>
        <w:rPr>
          <w:rFonts w:ascii="Montserrat" w:hAnsi="Montserrat" w:eastAsia="Montserrat" w:cs="Montserrat"/>
          <w:b w:val="0"/>
          <w:i/>
          <w:sz w:val="22"/>
        </w:rPr>
        <w:t>Capstone project final report handbook / guide</w:t>
      </w:r>
      <w:r>
        <w:rPr>
          <w:rFonts w:ascii="Montserrat" w:hAnsi="Montserrat" w:eastAsia="Montserrat" w:cs="Montserrat"/>
          <w:b w:val="0"/>
          <w:i w:val="0"/>
          <w:sz w:val="22"/>
        </w:rPr>
        <w:t>. School of Business.</w:t>
      </w:r>
    </w:p>
    <w:p>
      <w:pPr>
        <w:spacing w:after="160" w:before="0" w:line="360" w:lineRule="auto"/>
        <w:jc w:val="both"/>
      </w:pPr>
      <w:r>
        <w:rPr>
          <w:rFonts w:ascii="Montserrat" w:hAnsi="Montserrat" w:eastAsia="Montserrat" w:cs="Montserrat"/>
          <w:b w:val="0"/>
          <w:i w:val="0"/>
          <w:sz w:val="22"/>
        </w:rPr>
        <w:t xml:space="preserve">Bugingo, D. (2025, March 27). </w:t>
      </w:r>
      <w:r>
        <w:rPr>
          <w:rFonts w:ascii="Montserrat" w:hAnsi="Montserrat" w:eastAsia="Montserrat" w:cs="Montserrat"/>
          <w:b w:val="0"/>
          <w:i/>
          <w:sz w:val="22"/>
        </w:rPr>
        <w:t>Addressing youth unemployment in Rwanda: The role of job creation initiatives</w:t>
      </w:r>
      <w:r>
        <w:rPr>
          <w:rFonts w:ascii="Montserrat" w:hAnsi="Montserrat" w:eastAsia="Montserrat" w:cs="Montserrat"/>
          <w:b w:val="0"/>
          <w:i w:val="0"/>
          <w:sz w:val="22"/>
        </w:rPr>
        <w:t>. Rwanda Organization for Development Initiatives. https://rodirwanda.org.rw/addressing-youth-unemployment-in-rwanda-the-role-of-job-creation-initiatives/</w:t>
      </w:r>
    </w:p>
    <w:p>
      <w:pPr>
        <w:spacing w:after="160" w:before="0" w:line="360" w:lineRule="auto"/>
        <w:jc w:val="both"/>
      </w:pPr>
      <w:r>
        <w:rPr>
          <w:rFonts w:ascii="Montserrat" w:hAnsi="Montserrat" w:eastAsia="Montserrat" w:cs="Montserrat"/>
          <w:b w:val="0"/>
          <w:i w:val="0"/>
          <w:sz w:val="22"/>
        </w:rPr>
        <w:t xml:space="preserve">Habiyaremye, A., Habanabakize, T., &amp; Nwosu, C. (2022). Bridging the labour market skills gap to tackle youth unemployment in South Africa. </w:t>
      </w:r>
      <w:r>
        <w:rPr>
          <w:rFonts w:ascii="Montserrat" w:hAnsi="Montserrat" w:eastAsia="Montserrat" w:cs="Montserrat"/>
          <w:b w:val="0"/>
          <w:i/>
          <w:sz w:val="22"/>
        </w:rPr>
        <w:t>The Economic and Labour Relations Review, 33</w:t>
      </w:r>
      <w:r>
        <w:rPr>
          <w:rFonts w:ascii="Montserrat" w:hAnsi="Montserrat" w:eastAsia="Montserrat" w:cs="Montserrat"/>
          <w:b w:val="0"/>
          <w:i w:val="0"/>
          <w:sz w:val="22"/>
        </w:rPr>
        <w:t>(4), 786–805. https://doi.org/10.1177/10353046221138400</w:t>
      </w:r>
    </w:p>
    <w:p>
      <w:pPr>
        <w:spacing w:after="160" w:before="0" w:line="360" w:lineRule="auto"/>
        <w:jc w:val="both"/>
      </w:pPr>
      <w:r>
        <w:rPr>
          <w:rFonts w:ascii="Montserrat" w:hAnsi="Montserrat" w:eastAsia="Montserrat" w:cs="Montserrat"/>
          <w:b w:val="0"/>
          <w:i w:val="0"/>
          <w:sz w:val="22"/>
        </w:rPr>
        <w:t xml:space="preserve">International Labour Organization. (2024). </w:t>
      </w:r>
      <w:r>
        <w:rPr>
          <w:rFonts w:ascii="Montserrat" w:hAnsi="Montserrat" w:eastAsia="Montserrat" w:cs="Montserrat"/>
          <w:b w:val="0"/>
          <w:i/>
          <w:sz w:val="22"/>
        </w:rPr>
        <w:t>Global employment trends for youth 2024: Sub-Saharan Africa</w:t>
      </w:r>
      <w:r>
        <w:rPr>
          <w:rFonts w:ascii="Montserrat" w:hAnsi="Montserrat" w:eastAsia="Montserrat" w:cs="Montserrat"/>
          <w:b w:val="0"/>
          <w:i w:val="0"/>
          <w:sz w:val="22"/>
        </w:rPr>
        <w:t>. https://www.ilo.org/publications/employment-trends-youth-sub-saharan-africa</w:t>
      </w:r>
    </w:p>
    <w:p>
      <w:pPr>
        <w:spacing w:after="160" w:before="0" w:line="360" w:lineRule="auto"/>
        <w:jc w:val="both"/>
      </w:pPr>
      <w:r>
        <w:rPr>
          <w:rFonts w:ascii="Montserrat" w:hAnsi="Montserrat" w:eastAsia="Montserrat" w:cs="Montserrat"/>
          <w:b w:val="0"/>
          <w:i w:val="0"/>
          <w:sz w:val="22"/>
        </w:rPr>
        <w:t xml:space="preserve">Kporon, I. (n.d.). </w:t>
      </w:r>
      <w:r>
        <w:rPr>
          <w:rFonts w:ascii="Montserrat" w:hAnsi="Montserrat" w:eastAsia="Montserrat" w:cs="Montserrat"/>
          <w:b w:val="0"/>
          <w:i/>
          <w:sz w:val="22"/>
        </w:rPr>
        <w:t>Skill-Link Rwanda / Skill-Rwanda business plan</w:t>
      </w:r>
      <w:r>
        <w:rPr>
          <w:rFonts w:ascii="Montserrat" w:hAnsi="Montserrat" w:eastAsia="Montserrat" w:cs="Montserrat"/>
          <w:b w:val="0"/>
          <w:i w:val="0"/>
          <w:sz w:val="22"/>
        </w:rPr>
        <w:t xml:space="preserve"> [Unpublished planning document]. African Leadership University / SimpleJoint Trust.</w:t>
      </w:r>
    </w:p>
    <w:p>
      <w:pPr>
        <w:spacing w:after="160" w:before="0" w:line="360" w:lineRule="auto"/>
        <w:jc w:val="both"/>
      </w:pPr>
      <w:r>
        <w:rPr>
          <w:rFonts w:ascii="Montserrat" w:hAnsi="Montserrat" w:eastAsia="Montserrat" w:cs="Montserrat"/>
          <w:b w:val="0"/>
          <w:i w:val="0"/>
          <w:sz w:val="22"/>
        </w:rPr>
        <w:t xml:space="preserve">McIntosh, C., &amp; Zeitlin, A. (2022). </w:t>
      </w:r>
      <w:r>
        <w:rPr>
          <w:rFonts w:ascii="Montserrat" w:hAnsi="Montserrat" w:eastAsia="Montserrat" w:cs="Montserrat"/>
          <w:b w:val="0"/>
          <w:i/>
          <w:sz w:val="22"/>
        </w:rPr>
        <w:t>Skills and liquidity barriers to youth employment: Medium-term evidence from a cash benchmarking experiment in Rwanda</w:t>
      </w:r>
      <w:r>
        <w:rPr>
          <w:rFonts w:ascii="Montserrat" w:hAnsi="Montserrat" w:eastAsia="Montserrat" w:cs="Montserrat"/>
          <w:b w:val="0"/>
          <w:i w:val="0"/>
          <w:sz w:val="22"/>
        </w:rPr>
        <w:t>. arXiv. https://arxiv.org/abs/2209.08574</w:t>
      </w:r>
    </w:p>
    <w:p>
      <w:pPr>
        <w:spacing w:after="160" w:before="0" w:line="360" w:lineRule="auto"/>
        <w:jc w:val="both"/>
      </w:pPr>
      <w:r>
        <w:rPr>
          <w:rFonts w:ascii="Montserrat" w:hAnsi="Montserrat" w:eastAsia="Montserrat" w:cs="Montserrat"/>
          <w:b w:val="0"/>
          <w:i w:val="0"/>
          <w:sz w:val="22"/>
        </w:rPr>
        <w:t xml:space="preserve">National Institute of Statistics of Rwanda. (2025). </w:t>
      </w:r>
      <w:r>
        <w:rPr>
          <w:rFonts w:ascii="Montserrat" w:hAnsi="Montserrat" w:eastAsia="Montserrat" w:cs="Montserrat"/>
          <w:b w:val="0"/>
          <w:i/>
          <w:sz w:val="22"/>
        </w:rPr>
        <w:t>Labour force survey 2025 (Q1)</w:t>
      </w:r>
      <w:r>
        <w:rPr>
          <w:rFonts w:ascii="Montserrat" w:hAnsi="Montserrat" w:eastAsia="Montserrat" w:cs="Montserrat"/>
          <w:b w:val="0"/>
          <w:i w:val="0"/>
          <w:sz w:val="22"/>
        </w:rPr>
        <w:t>. https://www.statistics.gov.rw/data-sources/surveys/Labour-Force-Survey/labour-force-survey-2025/labour-force-survey-2025-q1</w:t>
      </w:r>
    </w:p>
    <w:p>
      <w:pPr>
        <w:spacing w:after="160" w:before="0" w:line="360" w:lineRule="auto"/>
        <w:jc w:val="both"/>
      </w:pPr>
      <w:r>
        <w:rPr>
          <w:rFonts w:ascii="Montserrat" w:hAnsi="Montserrat" w:eastAsia="Montserrat" w:cs="Montserrat"/>
          <w:b w:val="0"/>
          <w:i w:val="0"/>
          <w:sz w:val="22"/>
        </w:rPr>
        <w:t xml:space="preserve">Ogwu, M. C. (2025). Sustainable development in Africa: Challenges, innovations, and policy pathways for the future. </w:t>
      </w:r>
      <w:r>
        <w:rPr>
          <w:rFonts w:ascii="Montserrat" w:hAnsi="Montserrat" w:eastAsia="Montserrat" w:cs="Montserrat"/>
          <w:b w:val="0"/>
          <w:i/>
          <w:sz w:val="22"/>
        </w:rPr>
        <w:t>African Research Review, 1</w:t>
      </w:r>
      <w:r>
        <w:rPr>
          <w:rFonts w:ascii="Montserrat" w:hAnsi="Montserrat" w:eastAsia="Montserrat" w:cs="Montserrat"/>
          <w:b w:val="0"/>
          <w:i w:val="0"/>
          <w:sz w:val="22"/>
        </w:rPr>
        <w:t>(2), 55–69.</w:t>
      </w:r>
    </w:p>
    <w:p>
      <w:pPr>
        <w:spacing w:after="160" w:before="0" w:line="360" w:lineRule="auto"/>
        <w:jc w:val="both"/>
      </w:pPr>
      <w:r>
        <w:rPr>
          <w:rFonts w:ascii="Montserrat" w:hAnsi="Montserrat" w:eastAsia="Montserrat" w:cs="Montserrat"/>
          <w:b w:val="0"/>
          <w:i w:val="0"/>
          <w:sz w:val="22"/>
        </w:rPr>
        <w:t xml:space="preserve">Republic of Rwanda. (2020). </w:t>
      </w:r>
      <w:r>
        <w:rPr>
          <w:rFonts w:ascii="Montserrat" w:hAnsi="Montserrat" w:eastAsia="Montserrat" w:cs="Montserrat"/>
          <w:b w:val="0"/>
          <w:i/>
          <w:sz w:val="22"/>
        </w:rPr>
        <w:t>Vision 2050</w:t>
      </w:r>
      <w:r>
        <w:rPr>
          <w:rFonts w:ascii="Montserrat" w:hAnsi="Montserrat" w:eastAsia="Montserrat" w:cs="Montserrat"/>
          <w:b w:val="0"/>
          <w:i w:val="0"/>
          <w:sz w:val="22"/>
        </w:rPr>
        <w:t xml:space="preserve"> (abridged version). Ministry of Finance and Economic Planning. https://www.minecofin.gov.rw/fileadmin/user_upload/Minecofin/Publications/REPORTS/National_Development_Planning_and_Research/Vision_2050/English-Vision_2050_Abridged_version_WEB_Final.pdf</w:t>
      </w:r>
    </w:p>
    <w:p>
      <w:pPr>
        <w:spacing w:after="160" w:before="0" w:line="360" w:lineRule="auto"/>
        <w:jc w:val="both"/>
      </w:pPr>
      <w:r>
        <w:rPr>
          <w:rFonts w:ascii="Montserrat" w:hAnsi="Montserrat" w:eastAsia="Montserrat" w:cs="Montserrat"/>
          <w:b w:val="0"/>
          <w:i w:val="0"/>
          <w:sz w:val="22"/>
        </w:rPr>
        <w:t xml:space="preserve">Rwanda Development Board. (2019). </w:t>
      </w:r>
      <w:r>
        <w:rPr>
          <w:rFonts w:ascii="Montserrat" w:hAnsi="Montserrat" w:eastAsia="Montserrat" w:cs="Montserrat"/>
          <w:b w:val="0"/>
          <w:i/>
          <w:sz w:val="22"/>
        </w:rPr>
        <w:t>National skills development and employment promotion strategy</w:t>
      </w:r>
      <w:r>
        <w:rPr>
          <w:rFonts w:ascii="Montserrat" w:hAnsi="Montserrat" w:eastAsia="Montserrat" w:cs="Montserrat"/>
          <w:b w:val="0"/>
          <w:i w:val="0"/>
          <w:sz w:val="22"/>
        </w:rPr>
        <w:t>. https://rdb.rw/wp-content/uploads/2019/07/NSDEPS.pdf</w:t>
      </w:r>
    </w:p>
    <w:p>
      <w:pPr>
        <w:spacing w:after="160" w:before="0" w:line="360" w:lineRule="auto"/>
        <w:jc w:val="both"/>
      </w:pPr>
      <w:r>
        <w:rPr>
          <w:rFonts w:ascii="Montserrat" w:hAnsi="Montserrat" w:eastAsia="Montserrat" w:cs="Montserrat"/>
          <w:b w:val="0"/>
          <w:i w:val="0"/>
          <w:sz w:val="22"/>
        </w:rPr>
        <w:t xml:space="preserve">Rwanda Development Board, Private Sector Federation, &amp; partners. (2022). </w:t>
      </w:r>
      <w:r>
        <w:rPr>
          <w:rFonts w:ascii="Montserrat" w:hAnsi="Montserrat" w:eastAsia="Montserrat" w:cs="Montserrat"/>
          <w:b w:val="0"/>
          <w:i/>
          <w:sz w:val="22"/>
        </w:rPr>
        <w:t>State of skills report 2022</w:t>
      </w:r>
      <w:r>
        <w:rPr>
          <w:rFonts w:ascii="Montserrat" w:hAnsi="Montserrat" w:eastAsia="Montserrat" w:cs="Montserrat"/>
          <w:b w:val="0"/>
          <w:i w:val="0"/>
          <w:sz w:val="22"/>
        </w:rPr>
        <w:t>. https://lmis.rw/media/resources/state-of-Skills-report-2022_1.pdf</w:t>
      </w:r>
    </w:p>
    <w:p>
      <w:pPr>
        <w:spacing w:after="160" w:before="0" w:line="360" w:lineRule="auto"/>
        <w:jc w:val="both"/>
      </w:pPr>
      <w:r>
        <w:rPr>
          <w:rFonts w:ascii="Montserrat" w:hAnsi="Montserrat" w:eastAsia="Montserrat" w:cs="Montserrat"/>
          <w:b w:val="0"/>
          <w:i w:val="0"/>
          <w:sz w:val="22"/>
        </w:rPr>
        <w:t xml:space="preserve">SimpleJoint Trust. (2026a). </w:t>
      </w:r>
      <w:r>
        <w:rPr>
          <w:rFonts w:ascii="Montserrat" w:hAnsi="Montserrat" w:eastAsia="Montserrat" w:cs="Montserrat"/>
          <w:b w:val="0"/>
          <w:i/>
          <w:sz w:val="22"/>
        </w:rPr>
        <w:t>JointHub Africa Capstone II executive summary</w:t>
      </w:r>
      <w:r>
        <w:rPr>
          <w:rFonts w:ascii="Montserrat" w:hAnsi="Montserrat" w:eastAsia="Montserrat" w:cs="Montserrat"/>
          <w:b w:val="0"/>
          <w:i w:val="0"/>
          <w:sz w:val="22"/>
        </w:rPr>
        <w:t xml:space="preserve"> [Internal organisational brief].</w:t>
      </w:r>
    </w:p>
    <w:p>
      <w:pPr>
        <w:spacing w:after="160" w:before="0" w:line="360" w:lineRule="auto"/>
        <w:jc w:val="both"/>
      </w:pPr>
      <w:r>
        <w:rPr>
          <w:rFonts w:ascii="Montserrat" w:hAnsi="Montserrat" w:eastAsia="Montserrat" w:cs="Montserrat"/>
          <w:b w:val="0"/>
          <w:i w:val="0"/>
          <w:sz w:val="22"/>
        </w:rPr>
        <w:t xml:space="preserve">SimpleJoint Trust. (2026b). </w:t>
      </w:r>
      <w:r>
        <w:rPr>
          <w:rFonts w:ascii="Montserrat" w:hAnsi="Montserrat" w:eastAsia="Montserrat" w:cs="Montserrat"/>
          <w:b w:val="0"/>
          <w:i/>
          <w:sz w:val="22"/>
        </w:rPr>
        <w:t>JointHub Capstone II implementation evaluation</w:t>
      </w:r>
      <w:r>
        <w:rPr>
          <w:rFonts w:ascii="Montserrat" w:hAnsi="Montserrat" w:eastAsia="Montserrat" w:cs="Montserrat"/>
          <w:b w:val="0"/>
          <w:i w:val="0"/>
          <w:sz w:val="22"/>
        </w:rPr>
        <w:t xml:space="preserve"> [Internal evaluation pack].</w:t>
      </w:r>
    </w:p>
    <w:p>
      <w:pPr>
        <w:spacing w:after="160" w:before="0" w:line="360" w:lineRule="auto"/>
        <w:jc w:val="both"/>
      </w:pPr>
      <w:r>
        <w:rPr>
          <w:rFonts w:ascii="Montserrat" w:hAnsi="Montserrat" w:eastAsia="Montserrat" w:cs="Montserrat"/>
          <w:b w:val="0"/>
          <w:i w:val="0"/>
          <w:sz w:val="22"/>
        </w:rPr>
        <w:t xml:space="preserve">SimpleJoint Trust. (2026c). </w:t>
      </w:r>
      <w:r>
        <w:rPr>
          <w:rFonts w:ascii="Montserrat" w:hAnsi="Montserrat" w:eastAsia="Montserrat" w:cs="Montserrat"/>
          <w:b w:val="0"/>
          <w:i/>
          <w:sz w:val="22"/>
        </w:rPr>
        <w:t>Capstone II competitive landscape and gap brief</w:t>
      </w:r>
      <w:r>
        <w:rPr>
          <w:rFonts w:ascii="Montserrat" w:hAnsi="Montserrat" w:eastAsia="Montserrat" w:cs="Montserrat"/>
          <w:b w:val="0"/>
          <w:i w:val="0"/>
          <w:sz w:val="22"/>
        </w:rPr>
        <w:t xml:space="preserve"> [Internal research brief].</w:t>
      </w:r>
    </w:p>
    <w:p>
      <w:pPr>
        <w:spacing w:after="160" w:before="0" w:line="360" w:lineRule="auto"/>
        <w:jc w:val="both"/>
      </w:pPr>
      <w:r>
        <w:rPr>
          <w:rFonts w:ascii="Montserrat" w:hAnsi="Montserrat" w:eastAsia="Montserrat" w:cs="Montserrat"/>
          <w:b w:val="0"/>
          <w:i w:val="0"/>
          <w:sz w:val="22"/>
        </w:rPr>
        <w:t xml:space="preserve">SimpleJoint Trust. (2026d). </w:t>
      </w:r>
      <w:r>
        <w:rPr>
          <w:rFonts w:ascii="Montserrat" w:hAnsi="Montserrat" w:eastAsia="Montserrat" w:cs="Montserrat"/>
          <w:b w:val="0"/>
          <w:i/>
          <w:sz w:val="22"/>
        </w:rPr>
        <w:t>Business context</w:t>
      </w:r>
      <w:r>
        <w:rPr>
          <w:rFonts w:ascii="Montserrat" w:hAnsi="Montserrat" w:eastAsia="Montserrat" w:cs="Montserrat"/>
          <w:b w:val="0"/>
          <w:i w:val="0"/>
          <w:sz w:val="22"/>
        </w:rPr>
        <w:t xml:space="preserve"> [Internal organisational note].</w:t>
      </w:r>
    </w:p>
    <w:p>
      <w:pPr>
        <w:spacing w:after="160" w:before="0" w:line="360" w:lineRule="auto"/>
        <w:jc w:val="both"/>
      </w:pPr>
      <w:r>
        <w:rPr>
          <w:rFonts w:ascii="Montserrat" w:hAnsi="Montserrat" w:eastAsia="Montserrat" w:cs="Montserrat"/>
          <w:b w:val="0"/>
          <w:i w:val="0"/>
          <w:sz w:val="22"/>
        </w:rPr>
        <w:t xml:space="preserve">SimpleJoint Trust. (2026e). </w:t>
      </w:r>
      <w:r>
        <w:rPr>
          <w:rFonts w:ascii="Montserrat" w:hAnsi="Montserrat" w:eastAsia="Montserrat" w:cs="Montserrat"/>
          <w:b w:val="0"/>
          <w:i/>
          <w:sz w:val="22"/>
        </w:rPr>
        <w:t>JointHub Africa Mentor Hub: Audience and permissions</w:t>
      </w:r>
      <w:r>
        <w:rPr>
          <w:rFonts w:ascii="Montserrat" w:hAnsi="Montserrat" w:eastAsia="Montserrat" w:cs="Montserrat"/>
          <w:b w:val="0"/>
          <w:i w:val="0"/>
          <w:sz w:val="22"/>
        </w:rPr>
        <w:t xml:space="preserve"> [Internal product note].</w:t>
      </w:r>
    </w:p>
    <w:p>
      <w:pPr>
        <w:spacing w:after="160" w:before="0" w:line="360" w:lineRule="auto"/>
        <w:jc w:val="both"/>
      </w:pPr>
      <w:r>
        <w:rPr>
          <w:rFonts w:ascii="Montserrat" w:hAnsi="Montserrat" w:eastAsia="Montserrat" w:cs="Montserrat"/>
          <w:b w:val="0"/>
          <w:i w:val="0"/>
          <w:sz w:val="22"/>
        </w:rPr>
        <w:t xml:space="preserve">SimpleJoint Trust. (2026f). </w:t>
      </w:r>
      <w:r>
        <w:rPr>
          <w:rFonts w:ascii="Montserrat" w:hAnsi="Montserrat" w:eastAsia="Montserrat" w:cs="Montserrat"/>
          <w:b w:val="0"/>
          <w:i/>
          <w:sz w:val="22"/>
        </w:rPr>
        <w:t>AI ethics framework</w:t>
      </w:r>
      <w:r>
        <w:rPr>
          <w:rFonts w:ascii="Montserrat" w:hAnsi="Montserrat" w:eastAsia="Montserrat" w:cs="Montserrat"/>
          <w:b w:val="0"/>
          <w:i w:val="0"/>
          <w:sz w:val="22"/>
        </w:rPr>
        <w:t xml:space="preserve"> [Internal policy note].</w:t>
      </w:r>
    </w:p>
    <w:p>
      <w:pPr>
        <w:spacing w:after="160" w:before="0" w:line="360" w:lineRule="auto"/>
        <w:jc w:val="both"/>
      </w:pPr>
      <w:r>
        <w:rPr>
          <w:rFonts w:ascii="Montserrat" w:hAnsi="Montserrat" w:eastAsia="Montserrat" w:cs="Montserrat"/>
          <w:b w:val="0"/>
          <w:i w:val="0"/>
          <w:sz w:val="22"/>
        </w:rPr>
        <w:t xml:space="preserve">SimpleJoint Trust. (2026g). </w:t>
      </w:r>
      <w:r>
        <w:rPr>
          <w:rFonts w:ascii="Montserrat" w:hAnsi="Montserrat" w:eastAsia="Montserrat" w:cs="Montserrat"/>
          <w:b w:val="0"/>
          <w:i/>
          <w:sz w:val="22"/>
        </w:rPr>
        <w:t>JointHub Africa pre-final demo and evidence appendix</w:t>
      </w:r>
      <w:r>
        <w:rPr>
          <w:rFonts w:ascii="Montserrat" w:hAnsi="Montserrat" w:eastAsia="Montserrat" w:cs="Montserrat"/>
          <w:b w:val="0"/>
          <w:i w:val="0"/>
          <w:sz w:val="22"/>
        </w:rPr>
        <w:t xml:space="preserve"> [Internal appendix].</w:t>
      </w:r>
    </w:p>
    <w:p>
      <w:pPr>
        <w:spacing w:after="160" w:before="0" w:line="360" w:lineRule="auto"/>
        <w:jc w:val="both"/>
      </w:pPr>
      <w:r>
        <w:rPr>
          <w:rFonts w:ascii="Montserrat" w:hAnsi="Montserrat" w:eastAsia="Montserrat" w:cs="Montserrat"/>
          <w:b w:val="0"/>
          <w:i w:val="0"/>
          <w:sz w:val="22"/>
        </w:rPr>
        <w:t xml:space="preserve">SimpleJoint Trust. (2026h). </w:t>
      </w:r>
      <w:r>
        <w:rPr>
          <w:rFonts w:ascii="Montserrat" w:hAnsi="Montserrat" w:eastAsia="Montserrat" w:cs="Montserrat"/>
          <w:b w:val="0"/>
          <w:i/>
          <w:sz w:val="22"/>
        </w:rPr>
        <w:t>JointHub Africa sustainability plan and scalability strategies</w:t>
      </w:r>
      <w:r>
        <w:rPr>
          <w:rFonts w:ascii="Montserrat" w:hAnsi="Montserrat" w:eastAsia="Montserrat" w:cs="Montserrat"/>
          <w:b w:val="0"/>
          <w:i w:val="0"/>
          <w:sz w:val="22"/>
        </w:rPr>
        <w:t xml:space="preserve"> [Internal Capstone II report].</w:t>
      </w:r>
    </w:p>
    <w:p>
      <w:pPr>
        <w:spacing w:after="160" w:before="0" w:line="360" w:lineRule="auto"/>
        <w:jc w:val="both"/>
      </w:pPr>
      <w:r>
        <w:rPr>
          <w:rFonts w:ascii="Montserrat" w:hAnsi="Montserrat" w:eastAsia="Montserrat" w:cs="Montserrat"/>
          <w:b w:val="0"/>
          <w:i w:val="0"/>
          <w:sz w:val="22"/>
        </w:rPr>
        <w:t xml:space="preserve">SimpleJoint Trust. (2026i). </w:t>
      </w:r>
      <w:r>
        <w:rPr>
          <w:rFonts w:ascii="Montserrat" w:hAnsi="Montserrat" w:eastAsia="Montserrat" w:cs="Montserrat"/>
          <w:b w:val="0"/>
          <w:i/>
          <w:sz w:val="22"/>
        </w:rPr>
        <w:t>JointHub campaign plan</w:t>
      </w:r>
      <w:r>
        <w:rPr>
          <w:rFonts w:ascii="Montserrat" w:hAnsi="Montserrat" w:eastAsia="Montserrat" w:cs="Montserrat"/>
          <w:b w:val="0"/>
          <w:i w:val="0"/>
          <w:sz w:val="22"/>
        </w:rPr>
        <w:t xml:space="preserve"> [Internal marketing and finance planning note].</w:t>
      </w:r>
    </w:p>
    <w:p>
      <w:r>
        <w:br w:type="page"/>
      </w:r>
    </w:p>
    <w:p>
      <w:pPr>
        <w:spacing w:after="240" w:before="0" w:line="276" w:lineRule="auto"/>
        <w:jc w:val="left"/>
      </w:pPr>
      <w:r>
        <w:rPr>
          <w:rFonts w:ascii="Montserrat" w:hAnsi="Montserrat" w:eastAsia="Montserrat" w:cs="Montserrat"/>
          <w:b/>
          <w:i w:val="0"/>
          <w:color w:val="0D1B2A"/>
          <w:sz w:val="24"/>
        </w:rPr>
        <w:t>APPENDICES</w:t>
      </w:r>
    </w:p>
    <w:p>
      <w:pPr>
        <w:spacing w:after="120" w:before="240" w:line="276" w:lineRule="auto"/>
        <w:jc w:val="left"/>
      </w:pPr>
      <w:r>
        <w:rPr>
          <w:rFonts w:ascii="Montserrat" w:hAnsi="Montserrat" w:eastAsia="Montserrat" w:cs="Montserrat"/>
          <w:b/>
          <w:i w:val="0"/>
          <w:color w:val="0D1B2A"/>
          <w:sz w:val="22"/>
        </w:rPr>
        <w:t>Appendix A. Demonstration Path and Accounts</w:t>
      </w:r>
    </w:p>
    <w:p>
      <w:pPr>
        <w:spacing w:after="160" w:before="0" w:line="360" w:lineRule="auto"/>
        <w:jc w:val="both"/>
      </w:pPr>
      <w:r>
        <w:rPr>
          <w:rFonts w:ascii="Montserrat" w:hAnsi="Montserrat" w:eastAsia="Montserrat" w:cs="Montserrat"/>
          <w:b w:val="0"/>
          <w:i w:val="0"/>
          <w:sz w:val="22"/>
        </w:rPr>
        <w:t>Staging URL: https://staging.app.simplejoint-trust-4b4a02.cofounder.company/</w:t>
      </w:r>
    </w:p>
    <w:p>
      <w:pPr>
        <w:spacing w:after="160" w:before="0" w:line="360" w:lineRule="auto"/>
        <w:jc w:val="both"/>
      </w:pPr>
      <w:r>
        <w:rPr>
          <w:rFonts w:ascii="Montserrat" w:hAnsi="Montserrat" w:eastAsia="Montserrat" w:cs="Montserrat"/>
          <w:b w:val="0"/>
          <w:i w:val="0"/>
          <w:sz w:val="22"/>
        </w:rPr>
        <w:t xml:space="preserve">Capstone demo path: </w:t>
      </w:r>
      <w:r>
        <w:rPr>
          <w:rFonts w:ascii="Montserrat" w:hAnsi="Montserrat" w:eastAsia="Montserrat" w:cs="Montserrat"/>
          <w:b w:val="0"/>
          <w:i w:val="0"/>
          <w:sz w:val="18"/>
        </w:rPr>
        <w:t>/dashboard/login</w:t>
      </w:r>
      <w:r>
        <w:rPr>
          <w:rFonts w:ascii="Montserrat" w:hAnsi="Montserrat" w:eastAsia="Montserrat" w:cs="Montserrat"/>
          <w:b w:val="0"/>
          <w:i w:val="0"/>
          <w:sz w:val="22"/>
        </w:rPr>
        <w:t xml:space="preserve"> (demo email gate). Production auth shell: </w:t>
      </w:r>
      <w:r>
        <w:rPr>
          <w:rFonts w:ascii="Montserrat" w:hAnsi="Montserrat" w:eastAsia="Montserrat" w:cs="Montserrat"/>
          <w:b w:val="0"/>
          <w:i w:val="0"/>
          <w:sz w:val="18"/>
        </w:rPr>
        <w:t>/login</w:t>
      </w:r>
      <w:r>
        <w:rPr>
          <w:rFonts w:ascii="Montserrat" w:hAnsi="Montserrat" w:eastAsia="Montserrat" w:cs="Montserrat"/>
          <w:b w:val="0"/>
          <w:i w:val="0"/>
          <w:sz w:val="22"/>
        </w:rPr>
        <w:t xml:space="preserve"> (Supabase scaffold; not the Capstone door).</w:t>
      </w:r>
    </w:p>
    <w:tbl>
      <w:tblPr>
        <w:tblW w:type="auto" w:w="0"/>
        <w:jc w:val="center"/>
        <w:tblLayout w:type="autofit"/>
        <w:tblLook w:firstColumn="1" w:firstRow="1" w:lastColumn="0" w:lastRow="0" w:noHBand="0" w:noVBand="1" w:val="04A0"/>
      </w:tblPr>
      <w:tblGrid>
        <w:gridCol w:w="2889"/>
        <w:gridCol w:w="2889"/>
        <w:gridCol w:w="2889"/>
      </w:tblGrid>
      <w:tr>
        <w:tc>
          <w:tcPr>
            <w:tcW w:type="dxa" w:w="2889"/>
            <w:tcBorders>
              <w:top w:val="single" w:sz="4" w:space="0" w:color="D6D3D1"/>
              <w:left w:val="single" w:sz="4" w:space="0" w:color="D6D3D1"/>
              <w:bottom w:val="single" w:sz="4" w:space="0" w:color="D6D3D1"/>
              <w:right w:val="single" w:sz="4" w:space="0" w:color="D6D3D1"/>
            </w:tcBorders>
            <w:shd w:fill="0D1B2A" w:val="clear"/>
          </w:tcPr>
          <w:p>
            <w:pPr>
              <w:spacing w:after="40" w:before="40" w:line="240" w:lineRule="auto"/>
              <w:jc w:val="left"/>
            </w:pPr>
            <w:r>
              <w:rPr>
                <w:color w:val="FFFFFF"/>
              </w:rPr>
            </w:r>
            <w:r>
              <w:rPr>
                <w:rFonts w:ascii="Montserrat" w:hAnsi="Montserrat" w:eastAsia="Montserrat" w:cs="Montserrat"/>
                <w:b/>
                <w:i w:val="0"/>
                <w:color w:val="FFFFFF"/>
                <w:sz w:val="20"/>
              </w:rPr>
              <w:t>Email</w:t>
            </w:r>
          </w:p>
        </w:tc>
        <w:tc>
          <w:tcPr>
            <w:tcW w:type="dxa" w:w="2889"/>
            <w:tcBorders>
              <w:top w:val="single" w:sz="4" w:space="0" w:color="D6D3D1"/>
              <w:left w:val="single" w:sz="4" w:space="0" w:color="D6D3D1"/>
              <w:bottom w:val="single" w:sz="4" w:space="0" w:color="D6D3D1"/>
              <w:right w:val="single" w:sz="4" w:space="0" w:color="D6D3D1"/>
            </w:tcBorders>
            <w:shd w:fill="0D1B2A" w:val="clear"/>
          </w:tcPr>
          <w:p>
            <w:pPr>
              <w:spacing w:after="40" w:before="40" w:line="240" w:lineRule="auto"/>
              <w:jc w:val="left"/>
            </w:pPr>
            <w:r>
              <w:rPr>
                <w:color w:val="FFFFFF"/>
              </w:rPr>
            </w:r>
            <w:r>
              <w:rPr>
                <w:rFonts w:ascii="Montserrat" w:hAnsi="Montserrat" w:eastAsia="Montserrat" w:cs="Montserrat"/>
                <w:b/>
                <w:i w:val="0"/>
                <w:color w:val="FFFFFF"/>
                <w:sz w:val="20"/>
              </w:rPr>
              <w:t>Role</w:t>
            </w:r>
          </w:p>
        </w:tc>
        <w:tc>
          <w:tcPr>
            <w:tcW w:type="dxa" w:w="2889"/>
            <w:tcBorders>
              <w:top w:val="single" w:sz="4" w:space="0" w:color="D6D3D1"/>
              <w:left w:val="single" w:sz="4" w:space="0" w:color="D6D3D1"/>
              <w:bottom w:val="single" w:sz="4" w:space="0" w:color="D6D3D1"/>
              <w:right w:val="single" w:sz="4" w:space="0" w:color="D6D3D1"/>
            </w:tcBorders>
            <w:shd w:fill="0D1B2A" w:val="clear"/>
          </w:tcPr>
          <w:p>
            <w:pPr>
              <w:spacing w:after="40" w:before="40" w:line="240" w:lineRule="auto"/>
              <w:jc w:val="left"/>
            </w:pPr>
            <w:r>
              <w:rPr>
                <w:color w:val="FFFFFF"/>
              </w:rPr>
            </w:r>
            <w:r>
              <w:rPr>
                <w:rFonts w:ascii="Montserrat" w:hAnsi="Montserrat" w:eastAsia="Montserrat" w:cs="Montserrat"/>
                <w:b/>
                <w:i w:val="0"/>
                <w:color w:val="FFFFFF"/>
                <w:sz w:val="20"/>
              </w:rPr>
              <w:t>Show</w:t>
            </w:r>
          </w:p>
        </w:tc>
      </w:tr>
      <w:tr>
        <w:tc>
          <w:tcPr>
            <w:tcW w:type="dxa" w:w="2889"/>
            <w:tcBorders>
              <w:top w:val="single" w:sz="4" w:space="0" w:color="D6D3D1"/>
              <w:left w:val="single" w:sz="4" w:space="0" w:color="D6D3D1"/>
              <w:bottom w:val="single" w:sz="4" w:space="0" w:color="D6D3D1"/>
              <w:right w:val="single" w:sz="4" w:space="0" w:color="D6D3D1"/>
            </w:tcBorders>
          </w:tcPr>
          <w:p>
            <w:pPr>
              <w:spacing w:after="40" w:before="40" w:line="240" w:lineRule="auto"/>
              <w:jc w:val="left"/>
            </w:pPr>
            <w:r/>
            <w:r>
              <w:rPr>
                <w:rFonts w:ascii="Montserrat" w:hAnsi="Montserrat" w:eastAsia="Montserrat" w:cs="Montserrat"/>
                <w:b w:val="0"/>
                <w:i w:val="0"/>
                <w:sz w:val="20"/>
              </w:rPr>
              <w:t>leader1@jointhub.demo</w:t>
            </w:r>
          </w:p>
        </w:tc>
        <w:tc>
          <w:tcPr>
            <w:tcW w:type="dxa" w:w="2889"/>
            <w:tcBorders>
              <w:top w:val="single" w:sz="4" w:space="0" w:color="D6D3D1"/>
              <w:left w:val="single" w:sz="4" w:space="0" w:color="D6D3D1"/>
              <w:bottom w:val="single" w:sz="4" w:space="0" w:color="D6D3D1"/>
              <w:right w:val="single" w:sz="4" w:space="0" w:color="D6D3D1"/>
            </w:tcBorders>
          </w:tcPr>
          <w:p>
            <w:pPr>
              <w:spacing w:after="40" w:before="40" w:line="240" w:lineRule="auto"/>
              <w:jc w:val="left"/>
            </w:pPr>
            <w:r/>
            <w:r>
              <w:rPr>
                <w:rFonts w:ascii="Montserrat" w:hAnsi="Montserrat" w:eastAsia="Montserrat" w:cs="Montserrat"/>
                <w:b w:val="0"/>
                <w:i w:val="0"/>
                <w:sz w:val="20"/>
              </w:rPr>
              <w:t>scholar</w:t>
            </w:r>
          </w:p>
        </w:tc>
        <w:tc>
          <w:tcPr>
            <w:tcW w:type="dxa" w:w="2889"/>
            <w:tcBorders>
              <w:top w:val="single" w:sz="4" w:space="0" w:color="D6D3D1"/>
              <w:left w:val="single" w:sz="4" w:space="0" w:color="D6D3D1"/>
              <w:bottom w:val="single" w:sz="4" w:space="0" w:color="D6D3D1"/>
              <w:right w:val="single" w:sz="4" w:space="0" w:color="D6D3D1"/>
            </w:tcBorders>
          </w:tcPr>
          <w:p>
            <w:pPr>
              <w:spacing w:after="40" w:before="40" w:line="240" w:lineRule="auto"/>
              <w:jc w:val="left"/>
            </w:pPr>
            <w:r/>
            <w:r>
              <w:rPr>
                <w:rFonts w:ascii="Montserrat" w:hAnsi="Montserrat" w:eastAsia="Montserrat" w:cs="Montserrat"/>
                <w:b w:val="0"/>
                <w:i w:val="0"/>
                <w:sz w:val="20"/>
              </w:rPr>
              <w:t>Opportunities Top-5, Why recommended, Mentor Hub</w:t>
            </w:r>
          </w:p>
        </w:tc>
      </w:tr>
      <w:tr>
        <w:tc>
          <w:tcPr>
            <w:tcW w:type="dxa" w:w="2889"/>
            <w:tcBorders>
              <w:top w:val="single" w:sz="4" w:space="0" w:color="D6D3D1"/>
              <w:left w:val="single" w:sz="4" w:space="0" w:color="D6D3D1"/>
              <w:bottom w:val="single" w:sz="4" w:space="0" w:color="D6D3D1"/>
              <w:right w:val="single" w:sz="4" w:space="0" w:color="D6D3D1"/>
            </w:tcBorders>
            <w:shd w:fill="F4F1EE" w:val="clear"/>
          </w:tcPr>
          <w:p>
            <w:pPr>
              <w:spacing w:after="40" w:before="40" w:line="240" w:lineRule="auto"/>
              <w:jc w:val="left"/>
            </w:pPr>
            <w:r/>
            <w:r>
              <w:rPr>
                <w:rFonts w:ascii="Montserrat" w:hAnsi="Montserrat" w:eastAsia="Montserrat" w:cs="Montserrat"/>
                <w:b w:val="0"/>
                <w:i w:val="0"/>
                <w:sz w:val="20"/>
              </w:rPr>
              <w:t>scholar1@jointhub.demo</w:t>
            </w:r>
          </w:p>
        </w:tc>
        <w:tc>
          <w:tcPr>
            <w:tcW w:type="dxa" w:w="2889"/>
            <w:tcBorders>
              <w:top w:val="single" w:sz="4" w:space="0" w:color="D6D3D1"/>
              <w:left w:val="single" w:sz="4" w:space="0" w:color="D6D3D1"/>
              <w:bottom w:val="single" w:sz="4" w:space="0" w:color="D6D3D1"/>
              <w:right w:val="single" w:sz="4" w:space="0" w:color="D6D3D1"/>
            </w:tcBorders>
            <w:shd w:fill="F4F1EE" w:val="clear"/>
          </w:tcPr>
          <w:p>
            <w:pPr>
              <w:spacing w:after="40" w:before="40" w:line="240" w:lineRule="auto"/>
              <w:jc w:val="left"/>
            </w:pPr>
            <w:r/>
            <w:r>
              <w:rPr>
                <w:rFonts w:ascii="Montserrat" w:hAnsi="Montserrat" w:eastAsia="Montserrat" w:cs="Montserrat"/>
                <w:b w:val="0"/>
                <w:i w:val="0"/>
                <w:sz w:val="20"/>
              </w:rPr>
              <w:t>scholar</w:t>
            </w:r>
          </w:p>
        </w:tc>
        <w:tc>
          <w:tcPr>
            <w:tcW w:type="dxa" w:w="2889"/>
            <w:tcBorders>
              <w:top w:val="single" w:sz="4" w:space="0" w:color="D6D3D1"/>
              <w:left w:val="single" w:sz="4" w:space="0" w:color="D6D3D1"/>
              <w:bottom w:val="single" w:sz="4" w:space="0" w:color="D6D3D1"/>
              <w:right w:val="single" w:sz="4" w:space="0" w:color="D6D3D1"/>
            </w:tcBorders>
            <w:shd w:fill="F4F1EE" w:val="clear"/>
          </w:tcPr>
          <w:p>
            <w:pPr>
              <w:spacing w:after="40" w:before="40" w:line="240" w:lineRule="auto"/>
              <w:jc w:val="left"/>
            </w:pPr>
            <w:r/>
            <w:r>
              <w:rPr>
                <w:rFonts w:ascii="Montserrat" w:hAnsi="Montserrat" w:eastAsia="Montserrat" w:cs="Montserrat"/>
                <w:b w:val="0"/>
                <w:i w:val="0"/>
                <w:sz w:val="20"/>
              </w:rPr>
              <w:t>Alternate scholar</w:t>
            </w:r>
          </w:p>
        </w:tc>
      </w:tr>
      <w:tr>
        <w:tc>
          <w:tcPr>
            <w:tcW w:type="dxa" w:w="2889"/>
            <w:tcBorders>
              <w:top w:val="single" w:sz="4" w:space="0" w:color="D6D3D1"/>
              <w:left w:val="single" w:sz="4" w:space="0" w:color="D6D3D1"/>
              <w:bottom w:val="single" w:sz="4" w:space="0" w:color="D6D3D1"/>
              <w:right w:val="single" w:sz="4" w:space="0" w:color="D6D3D1"/>
            </w:tcBorders>
          </w:tcPr>
          <w:p>
            <w:pPr>
              <w:spacing w:after="40" w:before="40" w:line="240" w:lineRule="auto"/>
              <w:jc w:val="left"/>
            </w:pPr>
            <w:r/>
            <w:r>
              <w:rPr>
                <w:rFonts w:ascii="Montserrat" w:hAnsi="Montserrat" w:eastAsia="Montserrat" w:cs="Montserrat"/>
                <w:b w:val="0"/>
                <w:i w:val="0"/>
                <w:sz w:val="20"/>
              </w:rPr>
              <w:t>mentor1@jointhub.demo</w:t>
            </w:r>
          </w:p>
        </w:tc>
        <w:tc>
          <w:tcPr>
            <w:tcW w:type="dxa" w:w="2889"/>
            <w:tcBorders>
              <w:top w:val="single" w:sz="4" w:space="0" w:color="D6D3D1"/>
              <w:left w:val="single" w:sz="4" w:space="0" w:color="D6D3D1"/>
              <w:bottom w:val="single" w:sz="4" w:space="0" w:color="D6D3D1"/>
              <w:right w:val="single" w:sz="4" w:space="0" w:color="D6D3D1"/>
            </w:tcBorders>
          </w:tcPr>
          <w:p>
            <w:pPr>
              <w:spacing w:after="40" w:before="40" w:line="240" w:lineRule="auto"/>
              <w:jc w:val="left"/>
            </w:pPr>
            <w:r/>
            <w:r>
              <w:rPr>
                <w:rFonts w:ascii="Montserrat" w:hAnsi="Montserrat" w:eastAsia="Montserrat" w:cs="Montserrat"/>
                <w:b w:val="0"/>
                <w:i w:val="0"/>
                <w:sz w:val="20"/>
              </w:rPr>
              <w:t>mentor</w:t>
            </w:r>
          </w:p>
        </w:tc>
        <w:tc>
          <w:tcPr>
            <w:tcW w:type="dxa" w:w="2889"/>
            <w:tcBorders>
              <w:top w:val="single" w:sz="4" w:space="0" w:color="D6D3D1"/>
              <w:left w:val="single" w:sz="4" w:space="0" w:color="D6D3D1"/>
              <w:bottom w:val="single" w:sz="4" w:space="0" w:color="D6D3D1"/>
              <w:right w:val="single" w:sz="4" w:space="0" w:color="D6D3D1"/>
            </w:tcBorders>
          </w:tcPr>
          <w:p>
            <w:pPr>
              <w:spacing w:after="40" w:before="40" w:line="240" w:lineRule="auto"/>
              <w:jc w:val="left"/>
            </w:pPr>
            <w:r/>
            <w:r>
              <w:rPr>
                <w:rFonts w:ascii="Montserrat" w:hAnsi="Montserrat" w:eastAsia="Montserrat" w:cs="Montserrat"/>
                <w:b w:val="0"/>
                <w:i w:val="0"/>
                <w:sz w:val="20"/>
              </w:rPr>
              <w:t>Mentor shell</w:t>
            </w:r>
          </w:p>
        </w:tc>
      </w:tr>
      <w:tr>
        <w:tc>
          <w:tcPr>
            <w:tcW w:type="dxa" w:w="2889"/>
            <w:tcBorders>
              <w:top w:val="single" w:sz="4" w:space="0" w:color="D6D3D1"/>
              <w:left w:val="single" w:sz="4" w:space="0" w:color="D6D3D1"/>
              <w:bottom w:val="single" w:sz="4" w:space="0" w:color="D6D3D1"/>
              <w:right w:val="single" w:sz="4" w:space="0" w:color="D6D3D1"/>
            </w:tcBorders>
            <w:shd w:fill="F4F1EE" w:val="clear"/>
          </w:tcPr>
          <w:p>
            <w:pPr>
              <w:spacing w:after="40" w:before="40" w:line="240" w:lineRule="auto"/>
              <w:jc w:val="left"/>
            </w:pPr>
            <w:r/>
            <w:r>
              <w:rPr>
                <w:rFonts w:ascii="Montserrat" w:hAnsi="Montserrat" w:eastAsia="Montserrat" w:cs="Montserrat"/>
                <w:b w:val="0"/>
                <w:i w:val="0"/>
                <w:sz w:val="20"/>
              </w:rPr>
              <w:t>admin@jointhub.demo</w:t>
            </w:r>
          </w:p>
        </w:tc>
        <w:tc>
          <w:tcPr>
            <w:tcW w:type="dxa" w:w="2889"/>
            <w:tcBorders>
              <w:top w:val="single" w:sz="4" w:space="0" w:color="D6D3D1"/>
              <w:left w:val="single" w:sz="4" w:space="0" w:color="D6D3D1"/>
              <w:bottom w:val="single" w:sz="4" w:space="0" w:color="D6D3D1"/>
              <w:right w:val="single" w:sz="4" w:space="0" w:color="D6D3D1"/>
            </w:tcBorders>
            <w:shd w:fill="F4F1EE" w:val="clear"/>
          </w:tcPr>
          <w:p>
            <w:pPr>
              <w:spacing w:after="40" w:before="40" w:line="240" w:lineRule="auto"/>
              <w:jc w:val="left"/>
            </w:pPr>
            <w:r/>
            <w:r>
              <w:rPr>
                <w:rFonts w:ascii="Montserrat" w:hAnsi="Montserrat" w:eastAsia="Montserrat" w:cs="Montserrat"/>
                <w:b w:val="0"/>
                <w:i w:val="0"/>
                <w:sz w:val="20"/>
              </w:rPr>
              <w:t>admin</w:t>
            </w:r>
          </w:p>
        </w:tc>
        <w:tc>
          <w:tcPr>
            <w:tcW w:type="dxa" w:w="2889"/>
            <w:tcBorders>
              <w:top w:val="single" w:sz="4" w:space="0" w:color="D6D3D1"/>
              <w:left w:val="single" w:sz="4" w:space="0" w:color="D6D3D1"/>
              <w:bottom w:val="single" w:sz="4" w:space="0" w:color="D6D3D1"/>
              <w:right w:val="single" w:sz="4" w:space="0" w:color="D6D3D1"/>
            </w:tcBorders>
            <w:shd w:fill="F4F1EE" w:val="clear"/>
          </w:tcPr>
          <w:p>
            <w:pPr>
              <w:spacing w:after="40" w:before="40" w:line="240" w:lineRule="auto"/>
              <w:jc w:val="left"/>
            </w:pPr>
            <w:r/>
            <w:r>
              <w:rPr>
                <w:rFonts w:ascii="Montserrat" w:hAnsi="Montserrat" w:eastAsia="Montserrat" w:cs="Montserrat"/>
                <w:b w:val="0"/>
                <w:i w:val="0"/>
                <w:sz w:val="20"/>
              </w:rPr>
              <w:t>Dropout-risk queue, analytics</w:t>
            </w:r>
          </w:p>
        </w:tc>
      </w:tr>
    </w:tbl>
    <w:p/>
    <w:p>
      <w:pPr>
        <w:spacing w:after="160" w:before="0" w:line="360" w:lineRule="auto"/>
        <w:jc w:val="both"/>
      </w:pPr>
      <w:r>
        <w:rPr>
          <w:rFonts w:ascii="Montserrat" w:hAnsi="Montserrat" w:eastAsia="Montserrat" w:cs="Montserrat"/>
          <w:b w:val="0"/>
          <w:i w:val="0"/>
          <w:sz w:val="22"/>
        </w:rPr>
        <w:t>Do not send live outreach emails from demo accounts. Production publish remains ED/MD gated.</w:t>
      </w:r>
    </w:p>
    <w:p>
      <w:pPr>
        <w:spacing w:after="120" w:before="240" w:line="276" w:lineRule="auto"/>
        <w:jc w:val="left"/>
      </w:pPr>
      <w:r>
        <w:rPr>
          <w:rFonts w:ascii="Montserrat" w:hAnsi="Montserrat" w:eastAsia="Montserrat" w:cs="Montserrat"/>
          <w:b/>
          <w:i w:val="0"/>
          <w:color w:val="0D1B2A"/>
          <w:sz w:val="22"/>
        </w:rPr>
        <w:t>Appendix B. Evidence Buckets (Do Not Mix)</w:t>
      </w:r>
    </w:p>
    <w:tbl>
      <w:tblPr>
        <w:tblW w:type="auto" w:w="0"/>
        <w:jc w:val="center"/>
        <w:tblLayout w:type="autofit"/>
        <w:tblLook w:firstColumn="1" w:firstRow="1" w:lastColumn="0" w:lastRow="0" w:noHBand="0" w:noVBand="1" w:val="04A0"/>
      </w:tblPr>
      <w:tblGrid>
        <w:gridCol w:w="2889"/>
        <w:gridCol w:w="2889"/>
        <w:gridCol w:w="2889"/>
      </w:tblGrid>
      <w:tr>
        <w:tc>
          <w:tcPr>
            <w:tcW w:type="dxa" w:w="2889"/>
            <w:tcBorders>
              <w:top w:val="single" w:sz="4" w:space="0" w:color="D6D3D1"/>
              <w:left w:val="single" w:sz="4" w:space="0" w:color="D6D3D1"/>
              <w:bottom w:val="single" w:sz="4" w:space="0" w:color="D6D3D1"/>
              <w:right w:val="single" w:sz="4" w:space="0" w:color="D6D3D1"/>
            </w:tcBorders>
            <w:shd w:fill="0D1B2A" w:val="clear"/>
          </w:tcPr>
          <w:p>
            <w:pPr>
              <w:spacing w:after="40" w:before="40" w:line="240" w:lineRule="auto"/>
              <w:jc w:val="left"/>
            </w:pPr>
            <w:r>
              <w:rPr>
                <w:color w:val="FFFFFF"/>
              </w:rPr>
            </w:r>
            <w:r>
              <w:rPr>
                <w:rFonts w:ascii="Montserrat" w:hAnsi="Montserrat" w:eastAsia="Montserrat" w:cs="Montserrat"/>
                <w:b/>
                <w:i w:val="0"/>
                <w:color w:val="FFFFFF"/>
                <w:sz w:val="20"/>
              </w:rPr>
              <w:t>Bucket</w:t>
            </w:r>
          </w:p>
        </w:tc>
        <w:tc>
          <w:tcPr>
            <w:tcW w:type="dxa" w:w="2889"/>
            <w:tcBorders>
              <w:top w:val="single" w:sz="4" w:space="0" w:color="D6D3D1"/>
              <w:left w:val="single" w:sz="4" w:space="0" w:color="D6D3D1"/>
              <w:bottom w:val="single" w:sz="4" w:space="0" w:color="D6D3D1"/>
              <w:right w:val="single" w:sz="4" w:space="0" w:color="D6D3D1"/>
            </w:tcBorders>
            <w:shd w:fill="0D1B2A" w:val="clear"/>
          </w:tcPr>
          <w:p>
            <w:pPr>
              <w:spacing w:after="40" w:before="40" w:line="240" w:lineRule="auto"/>
              <w:jc w:val="left"/>
            </w:pPr>
            <w:r>
              <w:rPr>
                <w:color w:val="FFFFFF"/>
              </w:rPr>
            </w:r>
            <w:r>
              <w:rPr>
                <w:rFonts w:ascii="Montserrat" w:hAnsi="Montserrat" w:eastAsia="Montserrat" w:cs="Montserrat"/>
                <w:b/>
                <w:i w:val="0"/>
                <w:color w:val="FFFFFF"/>
                <w:sz w:val="20"/>
              </w:rPr>
              <w:t>What may be said</w:t>
            </w:r>
          </w:p>
        </w:tc>
        <w:tc>
          <w:tcPr>
            <w:tcW w:type="dxa" w:w="2889"/>
            <w:tcBorders>
              <w:top w:val="single" w:sz="4" w:space="0" w:color="D6D3D1"/>
              <w:left w:val="single" w:sz="4" w:space="0" w:color="D6D3D1"/>
              <w:bottom w:val="single" w:sz="4" w:space="0" w:color="D6D3D1"/>
              <w:right w:val="single" w:sz="4" w:space="0" w:color="D6D3D1"/>
            </w:tcBorders>
            <w:shd w:fill="0D1B2A" w:val="clear"/>
          </w:tcPr>
          <w:p>
            <w:pPr>
              <w:spacing w:after="40" w:before="40" w:line="240" w:lineRule="auto"/>
              <w:jc w:val="left"/>
            </w:pPr>
            <w:r>
              <w:rPr>
                <w:color w:val="FFFFFF"/>
              </w:rPr>
            </w:r>
            <w:r>
              <w:rPr>
                <w:rFonts w:ascii="Montserrat" w:hAnsi="Montserrat" w:eastAsia="Montserrat" w:cs="Montserrat"/>
                <w:b/>
                <w:i w:val="0"/>
                <w:color w:val="FFFFFF"/>
                <w:sz w:val="20"/>
              </w:rPr>
              <w:t>What may not be said</w:t>
            </w:r>
          </w:p>
        </w:tc>
      </w:tr>
      <w:tr>
        <w:tc>
          <w:tcPr>
            <w:tcW w:type="dxa" w:w="2889"/>
            <w:tcBorders>
              <w:top w:val="single" w:sz="4" w:space="0" w:color="D6D3D1"/>
              <w:left w:val="single" w:sz="4" w:space="0" w:color="D6D3D1"/>
              <w:bottom w:val="single" w:sz="4" w:space="0" w:color="D6D3D1"/>
              <w:right w:val="single" w:sz="4" w:space="0" w:color="D6D3D1"/>
            </w:tcBorders>
          </w:tcPr>
          <w:p>
            <w:pPr>
              <w:spacing w:after="40" w:before="40" w:line="240" w:lineRule="auto"/>
              <w:jc w:val="left"/>
            </w:pPr>
            <w:r/>
            <w:r>
              <w:rPr>
                <w:rFonts w:ascii="Montserrat" w:hAnsi="Montserrat" w:eastAsia="Montserrat" w:cs="Montserrat"/>
                <w:b w:val="0"/>
                <w:i w:val="0"/>
                <w:sz w:val="20"/>
              </w:rPr>
              <w:t>Organisation / programme impact</w:t>
            </w:r>
          </w:p>
        </w:tc>
        <w:tc>
          <w:tcPr>
            <w:tcW w:type="dxa" w:w="2889"/>
            <w:tcBorders>
              <w:top w:val="single" w:sz="4" w:space="0" w:color="D6D3D1"/>
              <w:left w:val="single" w:sz="4" w:space="0" w:color="D6D3D1"/>
              <w:bottom w:val="single" w:sz="4" w:space="0" w:color="D6D3D1"/>
              <w:right w:val="single" w:sz="4" w:space="0" w:color="D6D3D1"/>
            </w:tcBorders>
          </w:tcPr>
          <w:p>
            <w:pPr>
              <w:spacing w:after="40" w:before="40" w:line="240" w:lineRule="auto"/>
              <w:jc w:val="left"/>
            </w:pPr>
            <w:r/>
            <w:r>
              <w:rPr>
                <w:rFonts w:ascii="Montserrat" w:hAnsi="Montserrat" w:eastAsia="Montserrat" w:cs="Montserrat"/>
                <w:b w:val="0"/>
                <w:i w:val="0"/>
                <w:sz w:val="20"/>
              </w:rPr>
              <w:t>6+ countries represented, including Rwanda; 153+ curated opportunities; 85+ students supported; The Mentor Hub as an AI-powered Mentorship Dashboard; $158,000+ scholarships/grants secured by scholars; 100% post-mentorship interview confidence; 88% leadership/service readiness</w:t>
            </w:r>
          </w:p>
        </w:tc>
        <w:tc>
          <w:tcPr>
            <w:tcW w:type="dxa" w:w="2889"/>
            <w:tcBorders>
              <w:top w:val="single" w:sz="4" w:space="0" w:color="D6D3D1"/>
              <w:left w:val="single" w:sz="4" w:space="0" w:color="D6D3D1"/>
              <w:bottom w:val="single" w:sz="4" w:space="0" w:color="D6D3D1"/>
              <w:right w:val="single" w:sz="4" w:space="0" w:color="D6D3D1"/>
            </w:tcBorders>
          </w:tcPr>
          <w:p>
            <w:pPr>
              <w:spacing w:after="40" w:before="40" w:line="240" w:lineRule="auto"/>
              <w:jc w:val="left"/>
            </w:pPr>
            <w:r/>
            <w:r>
              <w:rPr>
                <w:rFonts w:ascii="Montserrat" w:hAnsi="Montserrat" w:eastAsia="Montserrat" w:cs="Montserrat"/>
                <w:b w:val="0"/>
                <w:i w:val="0"/>
                <w:sz w:val="20"/>
              </w:rPr>
              <w:t>That the MVP caused these outcomes; that product architecture is a headline impact statistic</w:t>
            </w:r>
          </w:p>
        </w:tc>
      </w:tr>
      <w:tr>
        <w:tc>
          <w:tcPr>
            <w:tcW w:type="dxa" w:w="2889"/>
            <w:tcBorders>
              <w:top w:val="single" w:sz="4" w:space="0" w:color="D6D3D1"/>
              <w:left w:val="single" w:sz="4" w:space="0" w:color="D6D3D1"/>
              <w:bottom w:val="single" w:sz="4" w:space="0" w:color="D6D3D1"/>
              <w:right w:val="single" w:sz="4" w:space="0" w:color="D6D3D1"/>
            </w:tcBorders>
            <w:shd w:fill="F4F1EE" w:val="clear"/>
          </w:tcPr>
          <w:p>
            <w:pPr>
              <w:spacing w:after="40" w:before="40" w:line="240" w:lineRule="auto"/>
              <w:jc w:val="left"/>
            </w:pPr>
            <w:r/>
            <w:r>
              <w:rPr>
                <w:rFonts w:ascii="Montserrat" w:hAnsi="Montserrat" w:eastAsia="Montserrat" w:cs="Montserrat"/>
                <w:b w:val="0"/>
                <w:i w:val="0"/>
                <w:sz w:val="20"/>
              </w:rPr>
              <w:t>Sample-cohort model KPIs</w:t>
            </w:r>
          </w:p>
        </w:tc>
        <w:tc>
          <w:tcPr>
            <w:tcW w:type="dxa" w:w="2889"/>
            <w:tcBorders>
              <w:top w:val="single" w:sz="4" w:space="0" w:color="D6D3D1"/>
              <w:left w:val="single" w:sz="4" w:space="0" w:color="D6D3D1"/>
              <w:bottom w:val="single" w:sz="4" w:space="0" w:color="D6D3D1"/>
              <w:right w:val="single" w:sz="4" w:space="0" w:color="D6D3D1"/>
            </w:tcBorders>
            <w:shd w:fill="F4F1EE" w:val="clear"/>
          </w:tcPr>
          <w:p>
            <w:pPr>
              <w:spacing w:after="40" w:before="40" w:line="240" w:lineRule="auto"/>
              <w:jc w:val="left"/>
            </w:pPr>
            <w:r/>
            <w:r>
              <w:rPr>
                <w:rFonts w:ascii="Montserrat" w:hAnsi="Montserrat" w:eastAsia="Montserrat" w:cs="Montserrat"/>
                <w:b w:val="0"/>
                <w:i w:val="0"/>
                <w:sz w:val="20"/>
              </w:rPr>
              <w:t>Precision@5 0.8583; Mentor F1 0.7778; NLP recall 0.85; AUC 1.00 with synthetic-label caveat; staging Hub live</w:t>
            </w:r>
          </w:p>
        </w:tc>
        <w:tc>
          <w:tcPr>
            <w:tcW w:type="dxa" w:w="2889"/>
            <w:tcBorders>
              <w:top w:val="single" w:sz="4" w:space="0" w:color="D6D3D1"/>
              <w:left w:val="single" w:sz="4" w:space="0" w:color="D6D3D1"/>
              <w:bottom w:val="single" w:sz="4" w:space="0" w:color="D6D3D1"/>
              <w:right w:val="single" w:sz="4" w:space="0" w:color="D6D3D1"/>
            </w:tcBorders>
            <w:shd w:fill="F4F1EE" w:val="clear"/>
          </w:tcPr>
          <w:p>
            <w:pPr>
              <w:spacing w:after="40" w:before="40" w:line="240" w:lineRule="auto"/>
              <w:jc w:val="left"/>
            </w:pPr>
            <w:r/>
            <w:r>
              <w:rPr>
                <w:rFonts w:ascii="Montserrat" w:hAnsi="Montserrat" w:eastAsia="Montserrat" w:cs="Montserrat"/>
                <w:b w:val="0"/>
                <w:i w:val="0"/>
                <w:sz w:val="20"/>
              </w:rPr>
              <w:t>That AUC is live ESL performance</w:t>
            </w:r>
          </w:p>
        </w:tc>
      </w:tr>
      <w:tr>
        <w:tc>
          <w:tcPr>
            <w:tcW w:type="dxa" w:w="2889"/>
            <w:tcBorders>
              <w:top w:val="single" w:sz="4" w:space="0" w:color="D6D3D1"/>
              <w:left w:val="single" w:sz="4" w:space="0" w:color="D6D3D1"/>
              <w:bottom w:val="single" w:sz="4" w:space="0" w:color="D6D3D1"/>
              <w:right w:val="single" w:sz="4" w:space="0" w:color="D6D3D1"/>
            </w:tcBorders>
          </w:tcPr>
          <w:p>
            <w:pPr>
              <w:spacing w:after="40" w:before="40" w:line="240" w:lineRule="auto"/>
              <w:jc w:val="left"/>
            </w:pPr>
            <w:r/>
            <w:r>
              <w:rPr>
                <w:rFonts w:ascii="Montserrat" w:hAnsi="Montserrat" w:eastAsia="Montserrat" w:cs="Montserrat"/>
                <w:b w:val="0"/>
                <w:i w:val="0"/>
                <w:sz w:val="20"/>
              </w:rPr>
              <w:t>Platform sample</w:t>
            </w:r>
          </w:p>
        </w:tc>
        <w:tc>
          <w:tcPr>
            <w:tcW w:type="dxa" w:w="2889"/>
            <w:tcBorders>
              <w:top w:val="single" w:sz="4" w:space="0" w:color="D6D3D1"/>
              <w:left w:val="single" w:sz="4" w:space="0" w:color="D6D3D1"/>
              <w:bottom w:val="single" w:sz="4" w:space="0" w:color="D6D3D1"/>
              <w:right w:val="single" w:sz="4" w:space="0" w:color="D6D3D1"/>
            </w:tcBorders>
          </w:tcPr>
          <w:p>
            <w:pPr>
              <w:spacing w:after="40" w:before="40" w:line="240" w:lineRule="auto"/>
              <w:jc w:val="left"/>
            </w:pPr>
            <w:r/>
            <w:r>
              <w:rPr>
                <w:rFonts w:ascii="Montserrat" w:hAnsi="Montserrat" w:eastAsia="Montserrat" w:cs="Montserrat"/>
                <w:b w:val="0"/>
                <w:i w:val="0"/>
                <w:sz w:val="20"/>
              </w:rPr>
              <w:t>24 users; 117 matches; 11 mentor pairs; 11 at-risk; NPS proxy 42; 1 scam flag</w:t>
            </w:r>
          </w:p>
        </w:tc>
        <w:tc>
          <w:tcPr>
            <w:tcW w:type="dxa" w:w="2889"/>
            <w:tcBorders>
              <w:top w:val="single" w:sz="4" w:space="0" w:color="D6D3D1"/>
              <w:left w:val="single" w:sz="4" w:space="0" w:color="D6D3D1"/>
              <w:bottom w:val="single" w:sz="4" w:space="0" w:color="D6D3D1"/>
              <w:right w:val="single" w:sz="4" w:space="0" w:color="D6D3D1"/>
            </w:tcBorders>
          </w:tcPr>
          <w:p>
            <w:pPr>
              <w:spacing w:after="40" w:before="40" w:line="240" w:lineRule="auto"/>
              <w:jc w:val="left"/>
            </w:pPr>
            <w:r/>
            <w:r>
              <w:rPr>
                <w:rFonts w:ascii="Montserrat" w:hAnsi="Montserrat" w:eastAsia="Montserrat" w:cs="Montserrat"/>
                <w:b w:val="0"/>
                <w:i w:val="0"/>
                <w:sz w:val="20"/>
              </w:rPr>
              <w:t>That this is the ESL census or bootcamp NPS</w:t>
            </w:r>
          </w:p>
        </w:tc>
      </w:tr>
      <w:tr>
        <w:tc>
          <w:tcPr>
            <w:tcW w:type="dxa" w:w="2889"/>
            <w:tcBorders>
              <w:top w:val="single" w:sz="4" w:space="0" w:color="D6D3D1"/>
              <w:left w:val="single" w:sz="4" w:space="0" w:color="D6D3D1"/>
              <w:bottom w:val="single" w:sz="4" w:space="0" w:color="D6D3D1"/>
              <w:right w:val="single" w:sz="4" w:space="0" w:color="D6D3D1"/>
            </w:tcBorders>
            <w:shd w:fill="F4F1EE" w:val="clear"/>
          </w:tcPr>
          <w:p>
            <w:pPr>
              <w:spacing w:after="40" w:before="40" w:line="240" w:lineRule="auto"/>
              <w:jc w:val="left"/>
            </w:pPr>
            <w:r/>
            <w:r>
              <w:rPr>
                <w:rFonts w:ascii="Montserrat" w:hAnsi="Montserrat" w:eastAsia="Montserrat" w:cs="Montserrat"/>
                <w:b w:val="0"/>
                <w:i w:val="0"/>
                <w:sz w:val="20"/>
              </w:rPr>
              <w:t>Shipping</w:t>
            </w:r>
          </w:p>
        </w:tc>
        <w:tc>
          <w:tcPr>
            <w:tcW w:type="dxa" w:w="2889"/>
            <w:tcBorders>
              <w:top w:val="single" w:sz="4" w:space="0" w:color="D6D3D1"/>
              <w:left w:val="single" w:sz="4" w:space="0" w:color="D6D3D1"/>
              <w:bottom w:val="single" w:sz="4" w:space="0" w:color="D6D3D1"/>
              <w:right w:val="single" w:sz="4" w:space="0" w:color="D6D3D1"/>
            </w:tcBorders>
            <w:shd w:fill="F4F1EE" w:val="clear"/>
          </w:tcPr>
          <w:p>
            <w:pPr>
              <w:spacing w:after="40" w:before="40" w:line="240" w:lineRule="auto"/>
              <w:jc w:val="left"/>
            </w:pPr>
            <w:r/>
            <w:r>
              <w:rPr>
                <w:rFonts w:ascii="Montserrat" w:hAnsi="Montserrat" w:eastAsia="Montserrat" w:cs="Montserrat"/>
                <w:b w:val="0"/>
                <w:i w:val="0"/>
                <w:sz w:val="20"/>
              </w:rPr>
              <w:t>Staging URL; role-aware dashboard</w:t>
            </w:r>
          </w:p>
        </w:tc>
        <w:tc>
          <w:tcPr>
            <w:tcW w:type="dxa" w:w="2889"/>
            <w:tcBorders>
              <w:top w:val="single" w:sz="4" w:space="0" w:color="D6D3D1"/>
              <w:left w:val="single" w:sz="4" w:space="0" w:color="D6D3D1"/>
              <w:bottom w:val="single" w:sz="4" w:space="0" w:color="D6D3D1"/>
              <w:right w:val="single" w:sz="4" w:space="0" w:color="D6D3D1"/>
            </w:tcBorders>
            <w:shd w:fill="F4F1EE" w:val="clear"/>
          </w:tcPr>
          <w:p>
            <w:pPr>
              <w:spacing w:after="40" w:before="40" w:line="240" w:lineRule="auto"/>
              <w:jc w:val="left"/>
            </w:pPr>
            <w:r/>
            <w:r>
              <w:rPr>
                <w:rFonts w:ascii="Montserrat" w:hAnsi="Montserrat" w:eastAsia="Montserrat" w:cs="Montserrat"/>
                <w:b w:val="0"/>
                <w:i w:val="0"/>
                <w:sz w:val="20"/>
              </w:rPr>
              <w:t>That production is live</w:t>
            </w:r>
          </w:p>
        </w:tc>
      </w:tr>
      <w:tr>
        <w:tc>
          <w:tcPr>
            <w:tcW w:type="dxa" w:w="2889"/>
            <w:tcBorders>
              <w:top w:val="single" w:sz="4" w:space="0" w:color="D6D3D1"/>
              <w:left w:val="single" w:sz="4" w:space="0" w:color="D6D3D1"/>
              <w:bottom w:val="single" w:sz="4" w:space="0" w:color="D6D3D1"/>
              <w:right w:val="single" w:sz="4" w:space="0" w:color="D6D3D1"/>
            </w:tcBorders>
          </w:tcPr>
          <w:p>
            <w:pPr>
              <w:spacing w:after="40" w:before="40" w:line="240" w:lineRule="auto"/>
              <w:jc w:val="left"/>
            </w:pPr>
            <w:r/>
            <w:r>
              <w:rPr>
                <w:rFonts w:ascii="Montserrat" w:hAnsi="Montserrat" w:eastAsia="Montserrat" w:cs="Montserrat"/>
                <w:b w:val="0"/>
                <w:i w:val="0"/>
                <w:sz w:val="20"/>
              </w:rPr>
              <w:t>Finance</w:t>
            </w:r>
          </w:p>
        </w:tc>
        <w:tc>
          <w:tcPr>
            <w:tcW w:type="dxa" w:w="2889"/>
            <w:tcBorders>
              <w:top w:val="single" w:sz="4" w:space="0" w:color="D6D3D1"/>
              <w:left w:val="single" w:sz="4" w:space="0" w:color="D6D3D1"/>
              <w:bottom w:val="single" w:sz="4" w:space="0" w:color="D6D3D1"/>
              <w:right w:val="single" w:sz="4" w:space="0" w:color="D6D3D1"/>
            </w:tcBorders>
          </w:tcPr>
          <w:p>
            <w:pPr>
              <w:spacing w:after="40" w:before="40" w:line="240" w:lineRule="auto"/>
              <w:jc w:val="left"/>
            </w:pPr>
            <w:r/>
            <w:r>
              <w:rPr>
                <w:rFonts w:ascii="Montserrat" w:hAnsi="Montserrat" w:eastAsia="Montserrat" w:cs="Montserrat"/>
                <w:b w:val="0"/>
                <w:i w:val="0"/>
                <w:sz w:val="20"/>
              </w:rPr>
              <w:t>Cash out ~$80–110; input ~$735 incl. volunteer; directional SROI ~74:1</w:t>
            </w:r>
          </w:p>
        </w:tc>
        <w:tc>
          <w:tcPr>
            <w:tcW w:type="dxa" w:w="2889"/>
            <w:tcBorders>
              <w:top w:val="single" w:sz="4" w:space="0" w:color="D6D3D1"/>
              <w:left w:val="single" w:sz="4" w:space="0" w:color="D6D3D1"/>
              <w:bottom w:val="single" w:sz="4" w:space="0" w:color="D6D3D1"/>
              <w:right w:val="single" w:sz="4" w:space="0" w:color="D6D3D1"/>
            </w:tcBorders>
          </w:tcPr>
          <w:p>
            <w:pPr>
              <w:spacing w:after="40" w:before="40" w:line="240" w:lineRule="auto"/>
              <w:jc w:val="left"/>
            </w:pPr>
            <w:r/>
            <w:r>
              <w:rPr>
                <w:rFonts w:ascii="Montserrat" w:hAnsi="Montserrat" w:eastAsia="Montserrat" w:cs="Montserrat"/>
                <w:b w:val="0"/>
                <w:i w:val="0"/>
                <w:sz w:val="20"/>
              </w:rPr>
              <w:t>That SROI is audited</w:t>
            </w:r>
          </w:p>
        </w:tc>
      </w:tr>
    </w:tbl>
    <w:p/>
    <w:p>
      <w:pPr>
        <w:spacing w:after="120" w:before="240" w:line="276" w:lineRule="auto"/>
        <w:jc w:val="left"/>
      </w:pPr>
      <w:r>
        <w:rPr>
          <w:rFonts w:ascii="Montserrat" w:hAnsi="Montserrat" w:eastAsia="Montserrat" w:cs="Montserrat"/>
          <w:b/>
          <w:i w:val="0"/>
          <w:color w:val="0D1B2A"/>
          <w:sz w:val="22"/>
        </w:rPr>
        <w:t>Appendix C. Capstone I to II Spine (Authoritative)</w:t>
      </w:r>
    </w:p>
    <w:p>
      <w:pPr>
        <w:pStyle w:val="ListNumber"/>
        <w:spacing w:after="80" w:before="0" w:line="360" w:lineRule="auto"/>
        <w:jc w:val="both"/>
      </w:pPr>
      <w:r>
        <w:rPr>
          <w:rFonts w:ascii="Montserrat" w:hAnsi="Montserrat" w:eastAsia="Montserrat" w:cs="Montserrat"/>
          <w:b w:val="0"/>
          <w:i w:val="0"/>
          <w:sz w:val="22"/>
        </w:rPr>
        <w:t>Capstone I: Digital Campaign for the SDGs proposing a sustainability education programme to empower youth in Africa in partnership with SimpleJoint.</w:t>
      </w:r>
    </w:p>
    <w:p>
      <w:pPr>
        <w:pStyle w:val="ListNumber"/>
        <w:spacing w:after="80" w:before="0" w:line="360" w:lineRule="auto"/>
        <w:jc w:val="both"/>
      </w:pPr>
      <w:r>
        <w:rPr>
          <w:rFonts w:ascii="Montserrat" w:hAnsi="Montserrat" w:eastAsia="Montserrat" w:cs="Montserrat"/>
          <w:b w:val="0"/>
          <w:i w:val="0"/>
          <w:sz w:val="22"/>
        </w:rPr>
        <w:t>Programme design after Capstone I: Emerging Servant Leaders (ESL) as the human, cohort-based leadership and mentorship programme.</w:t>
      </w:r>
    </w:p>
    <w:p>
      <w:pPr>
        <w:pStyle w:val="ListNumber"/>
        <w:spacing w:after="80" w:before="0" w:line="360" w:lineRule="auto"/>
        <w:jc w:val="both"/>
      </w:pPr>
      <w:r>
        <w:rPr>
          <w:rFonts w:ascii="Montserrat" w:hAnsi="Montserrat" w:eastAsia="Montserrat" w:cs="Montserrat"/>
          <w:b w:val="0"/>
          <w:i w:val="0"/>
          <w:sz w:val="22"/>
        </w:rPr>
        <w:t>Capstone II: JointHub Africa in Rwanda. The Mentor Hub is an AI-powered Mentorship Dashboard and the operating system that runs ESL. Primary users: ESL scholars. A bootcamp is the intended launch vehicle.</w:t>
      </w:r>
    </w:p>
    <w:p>
      <w:pPr>
        <w:spacing w:after="160" w:before="0" w:line="360" w:lineRule="auto"/>
        <w:jc w:val="both"/>
      </w:pPr>
      <w:r>
        <w:rPr>
          <w:rFonts w:ascii="Montserrat" w:hAnsi="Montserrat" w:eastAsia="Montserrat" w:cs="Montserrat"/>
          <w:b w:val="0"/>
          <w:i w:val="0"/>
          <w:sz w:val="22"/>
        </w:rPr>
        <w:t>Work still not done: live ESL data cutover; real mentor roster ≥20; production publish after the ED/MD gate. Skill-Link Rwanda’s commercial trainee price and pilot ask are not JointHub scholar fees (Kporon, n.d.).</w:t>
      </w:r>
    </w:p>
    <w:sectPr w:rsidR="00FC693F" w:rsidRPr="0006063C" w:rsidSect="00034616">
      <w:headerReference w:type="default" r:id="rId14"/>
      <w:footerReference w:type="default" r:id="rId15"/>
      <w:pgSz w:w="11906" w:h="16838"/>
      <w:pgMar w:top="1440" w:right="1440" w:bottom="1440" w:left="1800" w:header="720" w:footer="720" w:gutter="0"/>
      <w:cols w:space="720"/>
      <w:docGrid w:linePitch="360"/>
      <w:pgNumType w:start="1"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before="0" w:line="240" w:lineRule="auto"/>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before="0" w:line="240" w:lineRule="auto"/>
      <w:jc w:val="center"/>
    </w:pPr>
    <w:r>
      <w:rPr>
        <w:rFonts w:ascii="Montserrat" w:hAnsi="Montserrat" w:eastAsia="Montserrat" w:cs="Montserrat"/>
        <w:b w:val="0"/>
        <w:i w:val="0"/>
        <w:color w:val="0D1B2A"/>
        <w:sz w:val="20"/>
      </w:rPr>
      <w:fldChar w:fldCharType="begin"/>
      <w:instrText xml:space="preserve"> PAGE \* ROMAN </w:instrTex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before="0" w:line="240" w:lineRule="auto"/>
      <w:jc w:val="center"/>
    </w:pPr>
    <w:r>
      <w:rPr>
        <w:rFonts w:ascii="Montserrat" w:hAnsi="Montserrat" w:eastAsia="Montserrat" w:cs="Montserrat"/>
        <w:b w:val="0"/>
        <w:i w:val="0"/>
        <w:color w:val="0D1B2A"/>
        <w:sz w:val="20"/>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ontserrat" w:hAnsi="Montserrat" w:eastAsia="Montserrat"/>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footer" Target="footer3.xml"/><Relationship Id="rId14" Type="http://schemas.openxmlformats.org/officeDocument/2006/relationships/header" Target="header3.xml"/><Relationship Id="rId15"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