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33EA67E4" w:rsidR="00A32EFF" w:rsidRPr="00630E86" w:rsidRDefault="00494AFF" w:rsidP="00A32EFF">
      <w:pPr>
        <w:spacing w:after="0"/>
        <w:jc w:val="center"/>
      </w:pPr>
      <w:r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>Solid background in responsive web design (HTML, CSS, JavaScript), Visual Basic for Applications (VBA), and PowerShell. Advanced Excel skills, i.e. Vlookup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Vlookup | Pivot </w:t>
      </w:r>
      <w:r w:rsidR="008D493F" w:rsidRPr="005C2B59">
        <w:t>T</w:t>
      </w:r>
      <w:r w:rsidRPr="005C2B59">
        <w:t>ables</w:t>
      </w:r>
    </w:p>
    <w:p w14:paraId="7413E1E0" w14:textId="39CD4BBB" w:rsidR="00B92D7C" w:rsidRDefault="00B92D7C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GraphQL</w:t>
      </w:r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C47674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  <w:r w:rsidR="00B910F8">
        <w:t xml:space="preserve"> | Linux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Fulfilled IT equipment requests and offboardings.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4282C8F4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 xml:space="preserve">Skillfully provided </w:t>
      </w:r>
      <w:r w:rsidR="00914A37" w:rsidRPr="00797F33">
        <w:t>Tier 1</w:t>
      </w:r>
      <w:r w:rsidRPr="00797F33">
        <w:t xml:space="preserve"> help desk support</w:t>
      </w:r>
      <w:r w:rsidR="005724D1" w:rsidRPr="00797F33">
        <w:t>.</w:t>
      </w:r>
    </w:p>
    <w:p w14:paraId="3828CA7C" w14:textId="0C0F8A77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C0656">
        <w:t xml:space="preserve"> Zoho Desk | </w:t>
      </w:r>
      <w:r w:rsidR="002F3CF8">
        <w:t>Imaging (Intune)</w:t>
      </w:r>
      <w:r w:rsidR="00F7791F">
        <w:t xml:space="preserve"> | </w:t>
      </w:r>
      <w:r w:rsidRPr="00797F33">
        <w:t xml:space="preserve">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 xml:space="preserve">Imaging (SmartDeploy)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8C72C3">
      <w:pPr>
        <w:pageBreakBefore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lastRenderedPageBreak/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r w:rsidRPr="00797F33">
        <w:t>Vlookup</w:t>
      </w:r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2CEE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0656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30E86"/>
    <w:rsid w:val="00637D10"/>
    <w:rsid w:val="00645F36"/>
    <w:rsid w:val="00651A33"/>
    <w:rsid w:val="006578AF"/>
    <w:rsid w:val="006874C9"/>
    <w:rsid w:val="0069302E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069A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300A1"/>
    <w:rsid w:val="00840924"/>
    <w:rsid w:val="008538FC"/>
    <w:rsid w:val="00854D1F"/>
    <w:rsid w:val="00860F5D"/>
    <w:rsid w:val="00863D03"/>
    <w:rsid w:val="008769DD"/>
    <w:rsid w:val="008851D6"/>
    <w:rsid w:val="008853E2"/>
    <w:rsid w:val="008C72C3"/>
    <w:rsid w:val="008D08E2"/>
    <w:rsid w:val="008D493F"/>
    <w:rsid w:val="008D7D99"/>
    <w:rsid w:val="008E020E"/>
    <w:rsid w:val="008E7BED"/>
    <w:rsid w:val="008F62BA"/>
    <w:rsid w:val="00914A37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B3915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10F8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84E72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1C09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customXml/itemProps2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293</cp:revision>
  <dcterms:created xsi:type="dcterms:W3CDTF">2021-07-08T17:29:00Z</dcterms:created>
  <dcterms:modified xsi:type="dcterms:W3CDTF">2024-08-18T20:33:00Z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