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r0an8l46a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ISO 27001 Endpoint Policy Template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k795l48su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Endpoint Policy for [Organization Name], ensuring compliance with ISO/IEC 27001:2022 requirements. The policy establishes measures to secure endpoints, including laptops, desktops, mobile devices, and other hardware, to protect organizational assets and information.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mvr07wcop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policy is to: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security requirements for endpoints used within the organization.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 unauthorized access, malware infections, and data breaches through endpoint security measures.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compliance with ISO 27001 and applicable regulations.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2ecqunrgz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Scope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endpoints used to access [Organization Name]’s networks, systems, or data. It includes: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Desktops, laptops, and tablets.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devices (e.g., smartphones).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Removable storage devices (e.g., USB drives).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Internet of Things (IoT) devices.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rrlbfjwf4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Policy Statement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[Organization Name] requires all endpoints to adhere to stringent security controls, ensuring the protection of organizational information and systems. This includes: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Implementing encryption for data stored on endpoints.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Enforcing secure authentication mechanisms, including multi-factor authentication.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Regularly updating and patching endpoint operating systems and software.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regular endpoint backups to enable data recovery in case of device failure or loss.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7mrgibhpd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Roles and Responsibilities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Employees and Contractors:</w:t>
      </w:r>
      <w:r w:rsidDel="00000000" w:rsidR="00000000" w:rsidRPr="00000000">
        <w:rPr>
          <w:rtl w:val="0"/>
        </w:rPr>
        <w:t xml:space="preserve"> Comply with endpoint security practices and report lost, stolen, or compromised devices immediately.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Department:</w:t>
      </w:r>
      <w:r w:rsidDel="00000000" w:rsidR="00000000" w:rsidRPr="00000000">
        <w:rPr>
          <w:rtl w:val="0"/>
        </w:rPr>
        <w:t xml:space="preserve"> Manage endpoint security, including device configuration, patching, and monitoring.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Security Officer (ISO):</w:t>
      </w:r>
      <w:r w:rsidDel="00000000" w:rsidR="00000000" w:rsidRPr="00000000">
        <w:rPr>
          <w:rtl w:val="0"/>
        </w:rPr>
        <w:t xml:space="preserve"> Oversee endpoint security policies and ensure compliance with ISO 27001 requirements.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7f3voptjm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Compliance and Monitoring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regular endpoint audits to verify compliance with this policy.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endpoints for unauthorized activities or configuration changes.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tools for endpoint detection and response (EDR) to identify and mitigate threats.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fokv2b33h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Related Documentation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Acceptable Use Policy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Device Management Policy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Incident Management Policy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3vryadv4a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Review and Revision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will be reviewed annually or whenever significant changes occur in the endpoint environment or regulatory requirements. Updates will be coordinated by the Information Security Officer.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9xt2iaob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A: Endpoint Security Checklist</w:t>
      </w:r>
    </w:p>
    <w:tbl>
      <w:tblPr>
        <w:tblStyle w:val="Table1"/>
        <w:tblW w:w="7815.0" w:type="dxa"/>
        <w:jc w:val="left"/>
        <w:tblLayout w:type="fixed"/>
        <w:tblLook w:val="0600"/>
      </w:tblPr>
      <w:tblGrid>
        <w:gridCol w:w="1760"/>
        <w:gridCol w:w="3905"/>
        <w:gridCol w:w="2150"/>
        <w:tblGridChange w:id="0">
          <w:tblGrid>
            <w:gridCol w:w="1760"/>
            <w:gridCol w:w="3905"/>
            <w:gridCol w:w="2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Laptops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Full-disk encryption enabled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Mobile Devices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Multi-factor authentication configured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czgga7rms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B: Endpoint Incident Report Template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181.8181818181818"/>
        <w:gridCol w:w="1181.8181818181818"/>
        <w:gridCol w:w="1749.090909090909"/>
        <w:gridCol w:w="2146.181818181818"/>
        <w:gridCol w:w="1422.9090909090908"/>
        <w:gridCol w:w="1678.181818181818"/>
        <w:tblGridChange w:id="0">
          <w:tblGrid>
            <w:gridCol w:w="1181.8181818181818"/>
            <w:gridCol w:w="1181.8181818181818"/>
            <w:gridCol w:w="1749.090909090909"/>
            <w:gridCol w:w="2146.181818181818"/>
            <w:gridCol w:w="1422.9090909090908"/>
            <w:gridCol w:w="1678.18181818181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Incident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Affected Endpoint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Incident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Actions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Resolution Status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r3bmoa8ga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t3x039s9h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zmramcu7r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C: Policy Acknowledgment Form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acknowledge that I have read and understood the Endpoint Policy and agree to comply with its requirements.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______________________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__________________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_______________________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