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9jpgqv6u4z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ISO 27001 Risk Management Policy Template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m6fnbnrhzh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Risk Management Policy for [Organization Name], ensuring compliance with ISO/IEC 27001:2022 requirements. The policy establishes a structured approach to identifying, assessing, and mitigating risks to safeguard organizational assets and objectives.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elf717cl8w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Purpose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purpose of this policy is to: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a consistent framework for managing risks.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Protect the confidentiality, integrity, and availability of information assets.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compliance with ISO 27001 and other applicable regulations.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Promote a risk-aware culture within the organization.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px7kyr0cig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Scope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applies to all employees, contractors, and third-party vendors involved in activities that could impact the organization’s information security. It encompasses: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Physical and digital assets.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Internal and external threats.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Third-party risks.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2m25v5oyyf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Policy Statement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[Organization Name] is committed to managing risks effectively by: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Conducting regular risk assessments.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Mitigating identified risks through appropriate controls.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Ensuring continuous monitoring and improvement of the risk management process.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lf0a8ody64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Risk Management Framework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ac7ds3v0v65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 Risk Identification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Identify potential threats, vulnerabilities, and impacts on organizational assets.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tools such as interviews, audits, and threat modeling for comprehensive risk identification.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risks in the organization’s risk register.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2jdxjjpfrjp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5.2 Risk Assessment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Assess risks based on their likelihood and impact.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 risk levels (e.g., low, medium, high, critical).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Prioritize risks for mitigation based on their assessed level.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iqja82zlx0j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5.3 Risk Treatment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Determine appropriate risk treatment strategies: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Mitigate: Apply controls to reduce risk.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Transfer: Share risk with a third party (e.g., insurance).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Accept: Acknowledge and monitor the risk without further action.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Avoid: Eliminate the activity causing the risk.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and document mitigation plans.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k2zankvkrp8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5.4 Risk Monitoring and Review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Monitor risks and their treatment plans regularly.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the risk register as new risks emerge or existing risks change.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 periodic reviews to ensure the effectiveness of risk management activities.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553wuhc9bq4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Roles and Responsibilities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 Owners:</w:t>
      </w:r>
      <w:r w:rsidDel="00000000" w:rsidR="00000000" w:rsidRPr="00000000">
        <w:rPr>
          <w:rtl w:val="0"/>
        </w:rPr>
        <w:t xml:space="preserve"> Identify and assess risks within their areas and ensure mitigation actions are implemented.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 Management Team:</w:t>
      </w:r>
      <w:r w:rsidDel="00000000" w:rsidR="00000000" w:rsidRPr="00000000">
        <w:rPr>
          <w:rtl w:val="0"/>
        </w:rPr>
        <w:t xml:space="preserve"> Facilitate risk assessments, maintain the risk register, and support mitigation efforts.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Information Security Officer (ISO):</w:t>
      </w:r>
      <w:r w:rsidDel="00000000" w:rsidR="00000000" w:rsidRPr="00000000">
        <w:rPr>
          <w:rtl w:val="0"/>
        </w:rPr>
        <w:t xml:space="preserve"> Oversee the risk management process and ensure compliance with ISO 27001 requirements.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Executive Leadership:</w:t>
      </w:r>
      <w:r w:rsidDel="00000000" w:rsidR="00000000" w:rsidRPr="00000000">
        <w:rPr>
          <w:rtl w:val="0"/>
        </w:rPr>
        <w:t xml:space="preserve"> Review and approve risk treatment strategies and decisions for high-priority risks.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708sob4e5zh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Compliance and Monitoring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Conduct regular audits to ensure adherence to this policy and ISO 27001 standards.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for emerging risks and adjust controls accordingly.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Address non-compliance through corrective actions or disciplinary measures.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ot1vg4ysoxp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Related Documentation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Information Security Policy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Incident Management Policy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Business Continuity Plan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ytx5mf5yb4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Review and Revision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will be reviewed annually or whenever significant changes occur in the organization’s risk landscape or regulatory requirements. Updates will be approved by the Information Security Officer.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niadmyzvnrm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A: Risk Register Template</w:t>
      </w:r>
    </w:p>
    <w:tbl>
      <w:tblPr>
        <w:tblStyle w:val="Table1"/>
        <w:tblW w:w="9360.000000000002" w:type="dxa"/>
        <w:jc w:val="left"/>
        <w:tblLayout w:type="fixed"/>
        <w:tblLook w:val="0600"/>
      </w:tblPr>
      <w:tblGrid>
        <w:gridCol w:w="950.8424182358772"/>
        <w:gridCol w:w="1312.6263627353817"/>
        <w:gridCol w:w="1243.0525272547077"/>
        <w:gridCol w:w="895.1833498513381"/>
        <w:gridCol w:w="1215.222993062438"/>
        <w:gridCol w:w="2064.0237859266604"/>
        <w:gridCol w:w="867.3538156590685"/>
        <w:gridCol w:w="811.6947472745292"/>
        <w:tblGridChange w:id="0">
          <w:tblGrid>
            <w:gridCol w:w="950.8424182358772"/>
            <w:gridCol w:w="1312.6263627353817"/>
            <w:gridCol w:w="1243.0525272547077"/>
            <w:gridCol w:w="895.1833498513381"/>
            <w:gridCol w:w="1215.222993062438"/>
            <w:gridCol w:w="2064.0237859266604"/>
            <w:gridCol w:w="867.3538156590685"/>
            <w:gridCol w:w="811.694747274529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Likelihood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Treatment 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qxld4hchtkd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B: Risk Assessment Checklist</w:t>
      </w:r>
    </w:p>
    <w:tbl>
      <w:tblPr>
        <w:tblStyle w:val="Table2"/>
        <w:tblW w:w="4925.0" w:type="dxa"/>
        <w:jc w:val="left"/>
        <w:tblLayout w:type="fixed"/>
        <w:tblLook w:val="0600"/>
      </w:tblPr>
      <w:tblGrid>
        <w:gridCol w:w="1895"/>
        <w:gridCol w:w="1100"/>
        <w:gridCol w:w="1145"/>
        <w:gridCol w:w="785"/>
        <w:tblGridChange w:id="0">
          <w:tblGrid>
            <w:gridCol w:w="1895"/>
            <w:gridCol w:w="1100"/>
            <w:gridCol w:w="1145"/>
            <w:gridCol w:w="7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Assessment Area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Question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2qds8lnjz8h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C: Policy Acknowledgment Form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acknowledge that I have read and understood the Risk Management Policy and agree to comply with its requirements.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______________________</w:t>
        <w:br w:type="textWrapping"/>
      </w:r>
      <w:r w:rsidDel="00000000" w:rsidR="00000000" w:rsidRPr="00000000">
        <w:rPr>
          <w:b w:val="1"/>
          <w:rtl w:val="0"/>
        </w:rPr>
        <w:t xml:space="preserve">Signature:</w:t>
      </w:r>
      <w:r w:rsidDel="00000000" w:rsidR="00000000" w:rsidRPr="00000000">
        <w:rPr>
          <w:rtl w:val="0"/>
        </w:rPr>
        <w:t xml:space="preserve"> __________________</w:t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_______________________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