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ir4tlkvj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ISO 27001 Software Development Life Cycle (SDLC) Policy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28wpwmq6r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Software Development Life Cycle (SDLC) Policy for [Organization Name], ensuring compliance with ISO/IEC 27001:2022 requirements. The policy provides a framework for secure software development to mitigate risks and protect organizational assets.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8itpyfbr1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secure practices for software development, testing, and deployment.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ISO 27001 standards and other relevant regulations.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vulnerabilities and risks throughout the software development lifecycle.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software quality and security.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sn383pff5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software development activities within [Organization Name], including: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Internal and third-party software development.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Applications and systems used for business operations.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Development, testing, and production environments.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q81lcq24v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Policy Statement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is committed to implementing secure SDLC practices to protect its software and systems. This includes: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Adhering to secure coding standards.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Conducting regular security testing.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proper documentation and review at all SDLC phases.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u1hrgdqfw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SDLC Phases and Security Requirements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vf9cjy17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Requirements Gathering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document functional, performance, and security requirements.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 preliminary risk assessment for potential threats.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bfskinzlg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Design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secure architecture and design based on identified requirements.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threat modeling to identify and address security gaps.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2neqrj3wr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Development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secure coding standards, such as OWASP.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version control systems with access controls and activity logs.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static application security testing (SAST) to identify vulnerabilities in code.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lwhbvxj5t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Testing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dynamic application security testing (DAST) and penetration testing.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identified vulnerabilities are addressed before deployment.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testing results and corrective actions.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iyli7dj5t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5.5 Deployment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software using automated and secure pipelines.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rollback mechanisms for failed deployments.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all configurations meet security standards.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czp93hpsv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5.6 Maintenance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patches and updates regularly to address vulnerabilities.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software performance and security continuously.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periodic security reviews and audits.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28erasqjk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Roles and Responsibilities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Follow secure coding practices and address identified vulnerabilities.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Team:</w:t>
      </w:r>
      <w:r w:rsidDel="00000000" w:rsidR="00000000" w:rsidRPr="00000000">
        <w:rPr>
          <w:rtl w:val="0"/>
        </w:rPr>
        <w:t xml:space="preserve"> Perform rigorous testing to ensure software meets security and performance standards.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Officer (ISO):</w:t>
      </w:r>
      <w:r w:rsidDel="00000000" w:rsidR="00000000" w:rsidRPr="00000000">
        <w:rPr>
          <w:rtl w:val="0"/>
        </w:rPr>
        <w:t xml:space="preserve"> Oversee security controls throughout the SDLC.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Managers:</w:t>
      </w:r>
      <w:r w:rsidDel="00000000" w:rsidR="00000000" w:rsidRPr="00000000">
        <w:rPr>
          <w:rtl w:val="0"/>
        </w:rPr>
        <w:t xml:space="preserve"> Ensure compliance with this policy and manage SDLC timelines.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Administrators:</w:t>
      </w:r>
      <w:r w:rsidDel="00000000" w:rsidR="00000000" w:rsidRPr="00000000">
        <w:rPr>
          <w:rtl w:val="0"/>
        </w:rPr>
        <w:t xml:space="preserve"> Maintain secure environments for development, testing, and deployment.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eeyenanan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Compliance and Monitoring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regular audits to ensure adherence to this policy.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development activities for potential security violations.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non-compliance through corrective actions or disciplinary measures.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wvekc29iu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Related Documentation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Information Security Policy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Management Policy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Management Policy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5dvcjuir6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Review and Revision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upon significant changes to the SDLC process or tools. Updates will be approved by the Information Security Officer.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n06f4wrr8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Secure Coding Checklist</w:t>
      </w:r>
    </w:p>
    <w:tbl>
      <w:tblPr>
        <w:tblStyle w:val="Table1"/>
        <w:tblW w:w="7170.0" w:type="dxa"/>
        <w:jc w:val="left"/>
        <w:tblLayout w:type="fixed"/>
        <w:tblLook w:val="0600"/>
      </w:tblPr>
      <w:tblGrid>
        <w:gridCol w:w="1790"/>
        <w:gridCol w:w="3230"/>
        <w:gridCol w:w="2150"/>
        <w:tblGridChange w:id="0">
          <w:tblGrid>
            <w:gridCol w:w="1790"/>
            <w:gridCol w:w="3230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Checklist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Validate all user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 multi-factor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8fibicp51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SDLC Phase Checklist</w:t>
      </w:r>
    </w:p>
    <w:tbl>
      <w:tblPr>
        <w:tblStyle w:val="Table2"/>
        <w:tblW w:w="9359.999999999998" w:type="dxa"/>
        <w:jc w:val="left"/>
        <w:tblLayout w:type="fixed"/>
        <w:tblLook w:val="0600"/>
      </w:tblPr>
      <w:tblGrid>
        <w:gridCol w:w="1534.6673651126243"/>
        <w:gridCol w:w="4094.0806705081195"/>
        <w:gridCol w:w="1975.9455212152961"/>
        <w:gridCol w:w="1755.30644316396"/>
        <w:tblGridChange w:id="0">
          <w:tblGrid>
            <w:gridCol w:w="1534.6673651126243"/>
            <w:gridCol w:w="4094.0806705081195"/>
            <w:gridCol w:w="1975.9455212152961"/>
            <w:gridCol w:w="1755.3064431639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Key Activities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Responsible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Completion Date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Document all functional and security needs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71u0adyh9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acknowledge that I have read and understood the SDLC Policy and agree to comply with its requirements.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