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64"/>
          <w:szCs w:val="64"/>
        </w:rPr>
        <w:t xml:space="preserve">아맘때 Engage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75B6"/>
          <w:sz w:val="36"/>
          <w:szCs w:val="36"/>
        </w:rPr>
        <w:t xml:space="preserve">보호자 상담 예약 AI 솔루션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기획안 (POC)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2026년 6월  |  (주)인사이터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>작성: 김성익  |  상태: POC 완료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문제 정의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서비스 배경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아맘때는 AI 기반 비대면 발달심리 검사(CBCL)와 전문 상담사의 전화 상담을 연결하는 플랫폼이다. 보호자가 자녀의 검사를 완료하면, 상담사가 결과를 해석하고 2~3일 이내에 해석 상담이 진행된다.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문제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검사 완료 후 해석 상담까지의 공백 기간(2~3일) 동안 보호자는 임상 용어가 포함된 검사 보고서를 혼자 읽게 된다. 이 과정에서 다음 세 가지 문제가 발생한다.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비즈니스 영향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정보 비대칭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T점수·내재화·외현화 등 임상 용어를 혼자 해석하려 시도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잘못된 이해로 불필요한 불안 증폭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대기 불안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결과가 나쁜 것은 아닌지 걱정하며 공백 기간 보냄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상담 이탈(No-show) 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CS 부담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상담사에게 직접 문의하거나 CS팀에 반복 문의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운영 비용 증가·상담사 부담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해결 방향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Engage는 검사 완료~해석 상담 사이의 공백을 구조적으로 채워 보호자의 불안을 낮추고 상담 이탈률을 줄인다.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보호자 주도 일정 선택 → 예약 주도권 부여, No-show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채팅 → 용어 설명·공감 제공, 임상 해석은 상담사에게 위임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질문 수집 → 상담 준비도 향상, 상담 만족도 증가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기능 설계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전체 사용자 흐름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검사 완료 후 보호자는 세 가지 경로 중 하나를 선택할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64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666666"/>
          <w:sz w:val="18"/>
        </w:rPr>
        <w:t>▲ 그림 1. 전체 사용자 플로우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흐름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즉시 예약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브리징 → 일정 선택 → 사전 질문 → 예약 완료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즉각 전환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채팅 후 예약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브리징 → AI 채팅 → 일정 선택 → 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불안 해소 후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리마인더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브리징 → 나중에 → 리마인더 시간 선택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이탈 방지 재유도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화면별 기능 명세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① 브리징 메시지 (/)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검사 완료 직후 진입 — "수고하셨어요" 공감 메시지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상담의 3가지 가치 카드 제시 (결과 이해 / 방향 제안 / 전문 기관 연계)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소요 시간·방식 태그로 부담 완화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임상 해석이 아님을 하단에 명시 (법적 고지)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② AI 채팅 (/chat)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Ollama 로컬 LLM과 실시간 스트리밍 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용어 설명(T점수·내재화·외현화) 및 공감 응답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빠른 질문 버튼 5개로 진입 장벽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 해석 요청 시 고정 문구로만 응답 (임상 해석 금지)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③ 일정 선택 (/schedule)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달력 UI — 날짜 선택 → 시간 슬롯 → 상담사 순차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3명의 상담사 프로필 및 전문 분야 태그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 항목 모두 선택 전 확정 버튼 비활성화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④ 사전 질문 수집 (/questions)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5개 선택지 (다중 선택) + 자유 입력 200자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 강제하지 않음 → "안 하셔도 상담 진행"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예약 미니 카드로 컨텍스트 유지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⑤ 예약 완료 (/confirm)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.ics 파일 생성 및 다운로드 → Google/Apple 캘린더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질문 요약 표시 (상담사 전달 내용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VALARM: 1시간 전 알림 자동 설정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⑥ 리마인더 (/reminder)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 / 6 / 12 / 24시간 중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CS 연결: 카카오톡 채널 링크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AI 적용 방식 및 활용 지점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모델 선정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모델명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EXAONE 3.5 2.4B Instruct (LG AI Research)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2.4B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컨텍스트 길이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최대 32K 토큰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런타임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Ollama (로컬 실행, GPU 불필요)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추론 위치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100% 로컬 — 외부 서버 전송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모델 선정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한국어 특화: 동급 크기 모델 중 한국어 응답 품질 최상위. 보호자 친화적 자연어 출력.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경량·저사양: 2.4B 파라미터로 GPU 없이 CPU 환경 동작. POC 단계 별도 서버 불필요.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보안: 아동 심리 민감 정보가 로컬에서만 처리됨. 개인정보보호법 준수.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임상 경계 제어: 시스템 프롬프트로 응답 범위를 명확히 제한 가능. 안전한 운영 가능.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AI 활용 지점 및 역할 경계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93"/>
        <w:gridCol w:w="4693"/>
      </w:tblGrid>
      <w:tr>
        <w:trPr>
          <w:trHeight w:val="567" w:hRule="atLeast"/>
        </w:trPr>
        <w:tc>
          <w:tcPr>
            <w:tcW w:type="dxa" w:w="4422"/>
            <w:shd w:val="clear" w:color="auto" w:fill="7B61FF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6"/>
              </w:rPr>
              <w:t>🤖  AI (Engage)</w:t>
            </w:r>
          </w:p>
        </w:tc>
        <w:tc>
          <w:tcPr>
            <w:tcW w:type="dxa" w:w="4422"/>
            <w:shd w:val="clear" w:color="auto" w:fill="FF7B54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6"/>
              </w:rPr>
              <w:t>👨‍⚕️  전문 상담사</w:t>
            </w:r>
          </w:p>
        </w:tc>
      </w:tr>
      <w:tr>
        <w:trPr>
          <w:trHeight w:val="425" w:hRule="atLeast"/>
        </w:trPr>
        <w:tc>
          <w:tcPr>
            <w:tcW w:type="dxa" w:w="4422"/>
            <w:shd w:val="clear" w:color="auto" w:fill="EDE9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3D2FA0"/>
                <w:sz w:val="20"/>
              </w:rPr>
              <w:t>● T점수·백분위 용어 설명</w:t>
            </w:r>
          </w:p>
        </w:tc>
        <w:tc>
          <w:tcPr>
            <w:tcW w:type="dxa" w:w="4422"/>
            <w:shd w:val="clear" w:color="auto" w:fill="FFF3EE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A03A10"/>
                <w:sz w:val="20"/>
              </w:rPr>
              <w:t>● 개인 수치의 임상적 의미 해석</w:t>
            </w:r>
          </w:p>
        </w:tc>
      </w:tr>
      <w:tr>
        <w:trPr>
          <w:trHeight w:val="425" w:hRule="atLeast"/>
        </w:trPr>
        <w:tc>
          <w:tcPr>
            <w:tcW w:type="dxa" w:w="4422"/>
            <w:shd w:val="clear" w:color="auto" w:fill="EDE9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3D2FA0"/>
                <w:sz w:val="20"/>
              </w:rPr>
              <w:t>● 내재화·외현화 개념 안내</w:t>
            </w:r>
          </w:p>
        </w:tc>
        <w:tc>
          <w:tcPr>
            <w:tcW w:type="dxa" w:w="4422"/>
            <w:shd w:val="clear" w:color="auto" w:fill="FFF3EE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A03A10"/>
                <w:sz w:val="20"/>
              </w:rPr>
              <w:t>● 진단적 판단·예후 언급</w:t>
            </w:r>
          </w:p>
        </w:tc>
      </w:tr>
      <w:tr>
        <w:trPr>
          <w:trHeight w:val="425" w:hRule="atLeast"/>
        </w:trPr>
        <w:tc>
          <w:tcPr>
            <w:tcW w:type="dxa" w:w="4422"/>
            <w:shd w:val="clear" w:color="auto" w:fill="EDE9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3D2FA0"/>
                <w:sz w:val="20"/>
              </w:rPr>
              <w:t>● 불안·걱정 공감 응답</w:t>
            </w:r>
          </w:p>
        </w:tc>
        <w:tc>
          <w:tcPr>
            <w:tcW w:type="dxa" w:w="4422"/>
            <w:shd w:val="clear" w:color="auto" w:fill="FFF3EE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A03A10"/>
                <w:sz w:val="20"/>
              </w:rPr>
              <w:t>● 전문 기관 연계 결정</w:t>
            </w:r>
          </w:p>
        </w:tc>
      </w:tr>
      <w:tr>
        <w:trPr>
          <w:trHeight w:val="425" w:hRule="atLeast"/>
        </w:trPr>
        <w:tc>
          <w:tcPr>
            <w:tcW w:type="dxa" w:w="4422"/>
            <w:shd w:val="clear" w:color="auto" w:fill="EDE9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3D2FA0"/>
                <w:sz w:val="20"/>
              </w:rPr>
              <w:t>● 상담 흐름·소요시간 안내</w:t>
            </w:r>
          </w:p>
        </w:tc>
        <w:tc>
          <w:tcPr>
            <w:tcW w:type="dxa" w:w="4422"/>
            <w:shd w:val="clear" w:color="auto" w:fill="FFF3EE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A03A10"/>
                <w:sz w:val="20"/>
              </w:rPr>
              <w:t>● 검사 결과 심층 해석</w:t>
            </w:r>
          </w:p>
        </w:tc>
      </w:tr>
      <w:tr>
        <w:trPr>
          <w:trHeight w:val="425" w:hRule="atLeast"/>
        </w:trPr>
        <w:tc>
          <w:tcPr>
            <w:tcW w:type="dxa" w:w="4422"/>
            <w:shd w:val="clear" w:color="auto" w:fill="EDE9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3D2FA0"/>
                <w:sz w:val="20"/>
              </w:rPr>
              <w:t>● 빠른 질문 5개 제공</w:t>
            </w:r>
          </w:p>
        </w:tc>
        <w:tc>
          <w:tcPr>
            <w:tcW w:type="dxa" w:w="4422"/>
            <w:shd w:val="clear" w:color="auto" w:fill="FFF3EE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b w:val="0"/>
                <w:i w:val="0"/>
                <w:color w:val="A03A10"/>
                <w:sz w:val="20"/>
              </w:rPr>
              <w:t>● 치료·중재 방향 제안</w:t>
            </w:r>
          </w:p>
        </w:tc>
      </w:tr>
      <w:tr>
        <w:trPr>
          <w:trHeight w:val="396" w:hRule="atLeast"/>
        </w:trPr>
        <w:tc>
          <w:tcPr>
            <w:tcW w:type="dxa" w:w="8844"/>
            <w:gridSpan w:val="2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/>
                <w:color w:val="666666"/>
                <w:sz w:val="17"/>
              </w:rPr>
              <w:t>※ AI는 정보 제공·공감에 한정. 임상 해석·진단 판단은 전문 상담사 전담.</w:t>
            </w:r>
          </w:p>
        </w:tc>
      </w:tr>
    </w:tbl>
    <w:p>
      <w:pPr>
        <w:spacing w:before="80" w:after="240"/>
        <w:jc w:val="center"/>
      </w:pPr>
      <w:r>
        <w:rPr>
          <w:i/>
          <w:color w:val="666666"/>
          <w:sz w:val="18"/>
        </w:rPr>
        <w:t>▲ 그림 2. AI vs 전문 상담사 역할 경계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 수행 영역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 비수행 영역 (상담사 전담)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용어 설명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T점수, 내재화·외현화, 백분위 등 개념 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개인 수치의 임상적 의미 해석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공감 응답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불안·걱정에 대한 감정적 공감 표현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진단적 판단, 예후 언급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절차 안내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상담 흐름, 소요 시간, 준비 사항 안내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검사 결과에 따른 추천 기관 결정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시스템 프롬프트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제한: 2~3문장 이내 — 정보 과잉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감정 감지: 불안·걱정 표현 감지 시에만 공감 문장 우선 출력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형식 제한: 이모지·번호 목록·단락 구분 금지 — 친근한 대화체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 해석 요청 처리: "정확한 해석은 상담사와 함께 확인하시는 게 좋아요." 고정 응답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스트리밍 구현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Ollama API의 stream: true 옵션을 사용해 응답을 청크 단위로 수신한다. ReadableStream + TextDecoder로 실시간으로 화면에 타이핑 효과를 구현하여 체감 응답 속도를 개선한다.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구현: fetch → ReadableStream → getReader() → JSON 파싱 → React 상태 누적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효과: 응답 완성 전에도 콘텐츠가 보여 사용자 대기 시간 체감 감소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개발 산출물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기술 스택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React 18 + Vite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라우팅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React Router DOM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AI 런타임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Ollama (로컬 LLM) — exaone3.5:2.4b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스타일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인라인 스타일 + CSS 변수 (외부 UI 라이브러리 없음)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캘린더 연동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iCalendar(.ics) 직접 생성 — 외부 API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배포 환경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로컬 개발 서버 (Vite devServer, port 5173)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구현 완료 기능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브리징 메시지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3가지 상담 가치 카드, CTA 3단계, 법적 고지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AI 채팅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Ollama 스트리밍, 빠른 질문 5개, 안내 배너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일정 선택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달력 UI, 시간 슬롯, 상담사 선택 (순차 노출)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사전 질문 수집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5개 선택지 + 자유 입력 200자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.ics 캘린더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iCalendar 생성, Blob 다운로드, VALARM 1h 알림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리마인더 플로우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시간 선택 UI, CS 카카오톡 연결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반응형 레이아웃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모바일/태블릿/데스크탑 3단계 브레이크포인트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환경 변수 및 실행 방법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환경 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OLLAMA_ORIGINS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*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Ollama CORS 허용 (브라우저 접근 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VITE_APP_PORT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5173 (기본값)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Vite 개발 서버 포트 (선택)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실행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Ollama 설치 및 시작: ollama pull exaone3.5:2.4b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CORS 설정 (Windows PowerShell): [System.Environment]::SetEnvironmentVariable("OLLAMA_ORIGINS", "*", "User")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Ollama 재시작 후: npm install &amp;&amp; 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브라우저에서 http://localhost:5173 접속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리스크 및 대응 방안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300"/>
        <w:gridCol w:w="1300"/>
        <w:gridCol w:w="21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가능성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AI 안전성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시스템 프롬프트 우회로 임상 해석 응답 유출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엣지케이스 테스트 강화, 출력 필터 레이어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기술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Ollama 미실행 상태에서 채팅 오류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fallback UI 개선, 오류 메시지 명확화, 재연결 안내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법적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사전 질문 수집 시 개인정보 동의 절차 미구현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본 개발 전 개인정보 동의 UI 및 처리 방침 구현 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운영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상담사 스케줄과 하드코딩 슬롯 불일치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상담사 스케줄 API 연동, 실시간 가용성 반영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응답 속도 저하로 이탈 (CPU 환경 한계)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스트리밍으로 체감 속도 개선, 장기적으로 GPU 서버 전환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데이터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수집된 사전 질문이 상담사에게 미전달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 (현재)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상담사 대시보드 또는 CRM 연동 파이프라인 구현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운영 비용 / 성능 Trade-off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POC 단계: 로컬 LLM (Ollama)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API 호출 비용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$0 — 완전 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인프라 비용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$0 — 개발자 로컬 머신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응답 속도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CPU 환경 2~5초 (GPU 시 0.5~1초)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동시 접속 한계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단일 사용자 (POC 목적에 적합)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데이터 보안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최고 수준 — 외부 전송 전혀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본 서비스 단계: 클라우드 API 비교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로컬 LLM
(EXAONE 2.4B)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클라우드 경량
(GPT-4o mini)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클라우드 고성능
(Claude Sonnet)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API 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약 $0.15/1M tokens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약 $3/1M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서버 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GPU 서버 필요 (확장 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불필요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한국어 품질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중~높음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매우 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응답 속도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GPU시 0.5~1초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1~2초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1~3초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데이터 보안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최고 (로컬)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OpenAI 정책 준수 필요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Anthropic 정책 준수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확장성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서버 직접 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자동 확장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자동 확장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예상 비용 (본 서비스 기준)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 1,000명 보호자, 대화당 평균 5회 왕복(약 2,000 tokens) 기준: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토큰 사용량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예상 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로컬 LLM (EXAONE, GPU 서버)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2M tokens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GPU 서버비 $50~200 (토큰 비용 $0)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GPT-4o 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2M tokens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약 $0.3 (거의 무료)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2M tokens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약 $6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→ 서비스 규모와 데이터 보안 요구 수준에 따라 로컬 LLM 유지 또는 클라우드 API 전환을 결정한다.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6.4 단계별 전환 로드맵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9"/>
        <w:gridCol w:w="3129"/>
        <w:gridCol w:w="3129"/>
      </w:tblGrid>
      <w:tr>
        <w:trPr>
          <w:trHeight w:val="567" w:hRule="atLeast"/>
        </w:trPr>
        <w:tc>
          <w:tcPr>
            <w:tcW w:type="dxa" w:w="2948"/>
            <w:shd w:val="clear" w:color="auto" w:fill="7B61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① POC (현재)</w:t>
            </w:r>
          </w:p>
        </w:tc>
        <w:tc>
          <w:tcPr>
            <w:tcW w:type="dxa" w:w="2948"/>
            <w:shd w:val="clear" w:color="auto" w:fill="FF7B54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② 베타 (2차 개발)</w:t>
            </w:r>
          </w:p>
        </w:tc>
        <w:tc>
          <w:tcPr>
            <w:tcW w:type="dxa" w:w="2948"/>
            <w:shd w:val="clear" w:color="auto" w:fill="34C759"/>
            <w:tcBorders>
              <w:top w:val="single" w:sz="4" w:color="34C759"/>
              <w:left w:val="single" w:sz="4" w:color="34C759"/>
              <w:bottom w:val="single" w:sz="4" w:color="34C759"/>
              <w:right w:val="single" w:sz="4" w:color="34C759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③ 정식 서비스</w:t>
            </w:r>
          </w:p>
        </w:tc>
      </w:tr>
      <w:tr>
        <w:trPr>
          <w:trHeight w:val="226" w:hRule="atLeast"/>
        </w:trPr>
        <w:tc>
          <w:tcPr>
            <w:tcW w:type="dxa" w:w="2948"/>
            <w:shd w:val="clear" w:color="auto" w:fill="FFFFFF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CCCCCC"/>
                <w:sz w:val="20"/>
              </w:rPr>
              <w:t>▼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CCCCCC"/>
                <w:sz w:val="20"/>
              </w:rPr>
              <w:t>▼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CCCCCC"/>
                <w:sz w:val="20"/>
              </w:rPr>
              <w:t>▼</w:t>
            </w:r>
          </w:p>
        </w:tc>
      </w:tr>
      <w:tr>
        <w:trPr>
          <w:trHeight w:val="1134" w:hRule="atLeast"/>
        </w:trPr>
        <w:tc>
          <w:tcPr>
            <w:tcW w:type="dxa" w:w="2948"/>
            <w:shd w:val="clear" w:color="auto" w:fill="EDE9FF"/>
            <w:tcBorders>
              <w:top w:val="single" w:sz="6" w:color="7B61FF"/>
              <w:left w:val="single" w:sz="6" w:color="7B61FF"/>
              <w:bottom w:val="single" w:sz="6" w:color="7B61FF"/>
              <w:right w:val="single" w:sz="6" w:color="7B61FF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7B61FF"/>
                <w:sz w:val="18"/>
              </w:rPr>
              <w:t>AI 인프라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Ollama 로컬 CPU</w:t>
              <w:br/>
              <w:t>EXAONE 2.4B</w:t>
              <w:br/>
              <w:t>비용: $0</w:t>
              <w:br/>
              <w:t>단일 사용자</w:t>
            </w:r>
          </w:p>
        </w:tc>
        <w:tc>
          <w:tcPr>
            <w:tcW w:type="dxa" w:w="2948"/>
            <w:shd w:val="clear" w:color="auto" w:fill="FFF3EE"/>
            <w:tcBorders>
              <w:top w:val="single" w:sz="6" w:color="FF7B54"/>
              <w:left w:val="single" w:sz="6" w:color="FF7B54"/>
              <w:bottom w:val="single" w:sz="6" w:color="FF7B54"/>
              <w:right w:val="single" w:sz="6" w:color="FF7B54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7B54"/>
                <w:sz w:val="18"/>
              </w:rPr>
              <w:t>AI 인프라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로컬 GPU 서버</w:t>
              <w:br/>
              <w:t>EXAONE 7B</w:t>
              <w:br/>
              <w:t>응답 0.5~1초</w:t>
              <w:br/>
              <w:t>동시 접속 10명+</w:t>
            </w:r>
          </w:p>
        </w:tc>
        <w:tc>
          <w:tcPr>
            <w:tcW w:type="dxa" w:w="2948"/>
            <w:shd w:val="clear" w:color="auto" w:fill="E6F9ED"/>
            <w:tcBorders>
              <w:top w:val="single" w:sz="6" w:color="34C759"/>
              <w:left w:val="single" w:sz="6" w:color="34C759"/>
              <w:bottom w:val="single" w:sz="6" w:color="34C759"/>
              <w:right w:val="single" w:sz="6" w:color="34C759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34C759"/>
                <w:sz w:val="18"/>
              </w:rPr>
              <w:t>AI 인프라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클라우드 LLM API</w:t>
              <w:br/>
              <w:t>또는 자체 GPU 서버</w:t>
              <w:br/>
              <w:t>자동 확장</w:t>
              <w:br/>
              <w:t>MAU 1,000명+</w:t>
            </w:r>
          </w:p>
        </w:tc>
      </w:tr>
      <w:tr>
        <w:trPr>
          <w:trHeight w:val="226" w:hRule="atLeast"/>
        </w:trPr>
        <w:tc>
          <w:tcPr>
            <w:tcW w:type="dxa" w:w="2948"/>
            <w:shd w:val="clear" w:color="auto" w:fill="FFFFFF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CCCCCC"/>
                <w:sz w:val="20"/>
              </w:rPr>
              <w:t>▼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CCCCCC"/>
                <w:sz w:val="20"/>
              </w:rPr>
              <w:t>▼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CCCCCC"/>
                <w:sz w:val="20"/>
              </w:rPr>
              <w:t>▼</w:t>
            </w:r>
          </w:p>
        </w:tc>
      </w:tr>
      <w:tr>
        <w:trPr>
          <w:trHeight w:val="907" w:hRule="atLeast"/>
        </w:trPr>
        <w:tc>
          <w:tcPr>
            <w:tcW w:type="dxa" w:w="2948"/>
            <w:shd w:val="clear" w:color="auto" w:fill="F0EE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7B61FF"/>
                <w:sz w:val="18"/>
              </w:rPr>
              <w:t>전환 조건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444444"/>
                <w:sz w:val="19"/>
              </w:rPr>
              <w:t>현재 단계</w:t>
              <w:br/>
              <w:t>(POC 완료)</w:t>
            </w:r>
          </w:p>
        </w:tc>
        <w:tc>
          <w:tcPr>
            <w:tcW w:type="dxa" w:w="2948"/>
            <w:shd w:val="clear" w:color="auto" w:fill="FFF8F5"/>
            <w:tcBorders>
              <w:top w:val="single" w:sz="4" w:color="FF7B54"/>
              <w:left w:val="single" w:sz="4" w:color="FF7B54"/>
              <w:bottom w:val="single" w:sz="4" w:color="FF7B54"/>
              <w:right w:val="single" w:sz="4" w:color="FF7B54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7B54"/>
                <w:sz w:val="18"/>
              </w:rPr>
              <w:t>전환 조건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444444"/>
                <w:sz w:val="19"/>
              </w:rPr>
              <w:t>전환 조건:</w:t>
              <w:br/>
              <w:t>GPU 환경 확보</w:t>
              <w:br/>
              <w:t>동시 접속 10명 이상</w:t>
            </w:r>
          </w:p>
        </w:tc>
        <w:tc>
          <w:tcPr>
            <w:tcW w:type="dxa" w:w="2948"/>
            <w:shd w:val="clear" w:color="auto" w:fill="F0FFF4"/>
            <w:tcBorders>
              <w:top w:val="single" w:sz="4" w:color="34C759"/>
              <w:left w:val="single" w:sz="4" w:color="34C759"/>
              <w:bottom w:val="single" w:sz="4" w:color="34C759"/>
              <w:right w:val="single" w:sz="4" w:color="34C759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34C759"/>
                <w:sz w:val="18"/>
              </w:rPr>
              <w:t>전환 조건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444444"/>
                <w:sz w:val="19"/>
              </w:rPr>
              <w:t>전환 조건:</w:t>
              <w:br/>
              <w:t>MAU 1,000명 초과</w:t>
              <w:br/>
              <w:t>개인정보 정책 수립</w:t>
            </w:r>
          </w:p>
        </w:tc>
      </w:tr>
    </w:tbl>
    <w:p>
      <w:pPr>
        <w:spacing w:before="80" w:after="240"/>
        <w:jc w:val="center"/>
      </w:pPr>
      <w:r>
        <w:rPr>
          <w:i/>
          <w:color w:val="666666"/>
          <w:sz w:val="18"/>
        </w:rPr>
        <w:t>▲ 그림 3. 단계별 AI 인프라 전환 로드맵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 인프라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POC (현재)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로컬 Ollama (CPU, EXAONE 2.4B)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베타 (2차 개발)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로컬 GPU 서버 (EXAONE 7.8B)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GPU 환경 확보, 동시 접속 10명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정식 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클라우드 LLM API 또는 자체 서버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MAU 1,000명 초과, 개인정보 처리 방침 확정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성공 지표 (KPI)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방식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 방향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상담 예약 전환율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브리징 노출 대비 예약 완료 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이탈률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AI 채팅 사용률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브리징 진입자 중 채팅 이용 비율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캘린더 추가율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예약 완료자 중 .ics 다운로드 비율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증가 → No-show 감소 기대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사전 질문 수집률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예약 완료자 중 1개 이상 선택 비율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리마인더 전환율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리마인더 발송 후 24h 내 예약 완료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이탈 복구율 측정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8. 2차 개발 로드맵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8.1 POC 완료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브리징 메시지 + 일정 선택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LLM 기반 AI 채팅 (EXAONE 3.5 2.4B, Ollama)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K-CBCL 실제 보고서 기반 시스템 프롬프트 용어 사전 (위축·우울/불안·주의집중 문제 등 8개 증후군)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보고서 기반 빠른 질문 5개 (준임상 범위, ADHD 오해, 집·학교 행동 차이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보고서 기반 사전 질문 수집 항목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.ics 캘린더 연동, 리마인더 플로우, 반응형 레이아웃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8.2 2차 개발 핵심 항목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93"/>
        <w:gridCol w:w="4693"/>
      </w:tblGrid>
      <w:tr>
        <w:trPr>
          <w:trHeight w:val="510" w:hRule="atLeast"/>
        </w:trPr>
        <w:tc>
          <w:tcPr>
            <w:tcW w:type="dxa" w:w="4422"/>
            <w:shd w:val="clear" w:color="auto" w:fill="FF6B6B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BEFORE  —  현재 (일반 응답)</w:t>
            </w:r>
          </w:p>
        </w:tc>
        <w:tc>
          <w:tcPr>
            <w:tcW w:type="dxa" w:w="4422"/>
            <w:shd w:val="clear" w:color="auto" w:fill="34C759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AFTER  —  개인화 응답</w:t>
            </w:r>
          </w:p>
        </w:tc>
      </w:tr>
      <w:tr>
        <w:trPr>
          <w:trHeight w:val="453" w:hRule="atLeast"/>
        </w:trPr>
        <w:tc>
          <w:tcPr>
            <w:tcW w:type="dxa" w:w="4422"/>
            <w:shd w:val="clear" w:color="auto" w:fill="F8F8F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444444"/>
                <w:sz w:val="20"/>
              </w:rPr>
              <w:t>보호자 질문:</w:t>
              <w:br/>
              <w:t>"내재화 점수가 61T인데 괜찮은가요?"</w:t>
            </w:r>
          </w:p>
        </w:tc>
        <w:tc>
          <w:tcPr>
            <w:tcW w:type="dxa" w:w="4422"/>
            <w:shd w:val="clear" w:color="auto" w:fill="F8F8F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444444"/>
                <w:sz w:val="20"/>
              </w:rPr>
              <w:t>보호자 질문:</w:t>
              <w:br/>
              <w:t>"내재화 점수가 61T인데 괜찮은가요?"</w:t>
            </w:r>
          </w:p>
        </w:tc>
      </w:tr>
      <w:tr>
        <w:trPr>
          <w:trHeight w:val="1134" w:hRule="atLeast"/>
        </w:trPr>
        <w:tc>
          <w:tcPr>
            <w:tcW w:type="dxa" w:w="4422"/>
            <w:shd w:val="clear" w:color="auto" w:fill="FFF5F5"/>
            <w:tcBorders>
              <w:top w:val="single" w:sz="6" w:color="FF6B6B"/>
              <w:left w:val="single" w:sz="6" w:color="FF6B6B"/>
              <w:bottom w:val="single" w:sz="6" w:color="FF6B6B"/>
              <w:right w:val="single" w:sz="6" w:color="FF6B6B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CC3333"/>
                <w:sz w:val="20"/>
              </w:rPr>
              <w:t>AI 응답 (일반)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"T점수는 또래 평균을 50으로 환산한</w:t>
              <w:br/>
              <w:t>점수입니다. 61T는 약 86번째 백분위로</w:t>
              <w:br/>
              <w:t>준임상 범위에 해당합니다."</w:t>
            </w:r>
          </w:p>
        </w:tc>
        <w:tc>
          <w:tcPr>
            <w:tcW w:type="dxa" w:w="4422"/>
            <w:shd w:val="clear" w:color="auto" w:fill="F0FFF4"/>
            <w:tcBorders>
              <w:top w:val="single" w:sz="6" w:color="34C759"/>
              <w:left w:val="single" w:sz="6" w:color="34C759"/>
              <w:bottom w:val="single" w:sz="6" w:color="34C759"/>
              <w:right w:val="single" w:sz="6" w:color="34C759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1A8C3A"/>
                <w:sz w:val="20"/>
              </w:rPr>
              <w:t>AI 응답 (개인화)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333333"/>
                <w:sz w:val="20"/>
              </w:rPr>
              <w:t>"아이의 내재화 점수(61T)는 준임상</w:t>
              <w:br/>
              <w:t>범위예요. 특히 위축 척도가 65T로</w:t>
              <w:br/>
              <w:t>나왔는데, 이 부분을 상담사와</w:t>
              <w:br/>
              <w:t>함께 살펴보시면 좋을 것 같아요."</w:t>
            </w:r>
          </w:p>
        </w:tc>
      </w:tr>
      <w:tr>
        <w:trPr>
          <w:trHeight w:val="396" w:hRule="atLeast"/>
        </w:trPr>
        <w:tc>
          <w:tcPr>
            <w:tcW w:type="dxa" w:w="4422"/>
            <w:shd w:val="clear" w:color="auto" w:fill="FFE5E5"/>
            <w:tcBorders>
              <w:top w:val="single" w:sz="4" w:color="FF6B6B"/>
              <w:left w:val="single" w:sz="4" w:color="FF6B6B"/>
              <w:bottom w:val="single" w:sz="4" w:color="FF6B6B"/>
              <w:right w:val="single" w:sz="4" w:color="FF6B6B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CC3333"/>
                <w:sz w:val="20"/>
              </w:rPr>
              <w:t>모든 보호자에게 동일한 응답</w:t>
            </w:r>
          </w:p>
        </w:tc>
        <w:tc>
          <w:tcPr>
            <w:tcW w:type="dxa" w:w="4422"/>
            <w:shd w:val="clear" w:color="auto" w:fill="D0F0DA"/>
            <w:tcBorders>
              <w:top w:val="single" w:sz="4" w:color="34C759"/>
              <w:left w:val="single" w:sz="4" w:color="34C759"/>
              <w:bottom w:val="single" w:sz="4" w:color="34C759"/>
              <w:right w:val="single" w:sz="4" w:color="34C759"/>
            </w:tcBorders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b/>
                <w:i w:val="0"/>
                <w:color w:val="1A8C3A"/>
                <w:sz w:val="20"/>
              </w:rPr>
              <w:t>실제 수치 기반 맞춤 응답</w:t>
            </w:r>
          </w:p>
        </w:tc>
      </w:tr>
      <w:tr>
        <w:trPr>
          <w:trHeight w:val="396" w:hRule="atLeast"/>
        </w:trPr>
        <w:tc>
          <w:tcPr>
            <w:tcW w:type="dxa" w:w="8844"/>
            <w:gridSpan w:val="2"/>
            <w:shd w:val="clear" w:color="auto" w:fill="F0EEFF"/>
            <w:tcBorders>
              <w:top w:val="single" w:sz="4" w:color="7B61FF"/>
              <w:left w:val="single" w:sz="4" w:color="7B61FF"/>
              <w:bottom w:val="single" w:sz="4" w:color="7B61FF"/>
              <w:right w:val="single" w:sz="4" w:color="7B61FF"/>
            </w:tcBorders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/>
                <w:color w:val="5B4FCC"/>
                <w:sz w:val="18"/>
              </w:rPr>
              <w:t>※ 구현 전제: PDF 업로드 → 수치 파싱 → 보호자별 컨텍스트 주입 → AI 개인화 응답</w:t>
            </w:r>
          </w:p>
        </w:tc>
      </w:tr>
    </w:tbl>
    <w:p>
      <w:pPr>
        <w:spacing w:before="80" w:after="240"/>
        <w:jc w:val="center"/>
      </w:pPr>
      <w:r>
        <w:rPr>
          <w:i/>
          <w:color w:val="666666"/>
          <w:sz w:val="18"/>
        </w:rPr>
        <w:t>▲ 그림 4. 보고서 파싱 + AI 개인화 Before / After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① 보고서 파싱 + AI 개인화 (최우선)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사측 제공 샘플 K-CBCL 보고서 분석을 통해 도출된 항목. 현재 AI 채팅은 모든 보호자에게 동일한 일반 응답을 제공하는 한계가 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기능 개요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보호자의 K-CBCL 결과 PDF를 파싱하여 실제 수치(T점수·백분위·범위)를 AI 채팅 시스템 프롬프트에 컨텍스트로 주입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Before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"T점수는 또래 평균을 50으로 환산한 점수예요." (일반 응답)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After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"아이의 내재화 점수(61T)는 준임상 범위로, 또래 100명 중 85~89등에 해당해요. 외현화(54T)는 평균 수준이에요." (개인화 응답)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구현 방식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PDF 업로드 → 수치 파싱(정규식·LLM) → 시스템 프롬프트 동적 생성 → 개인화 채팅 컨텍스트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전제 조건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보호자 인증, 개인정보 동의 절차 선행 구현 필요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② 브리징 메시지 점수 기반 분기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사측 제공 샘플 보고서에서 확인된 점수 패턴(정상/준임상/임상)을 활용해 브리징 메시지를 개인화한다.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점수 패턴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브리징 메시지 방향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전체 정상 범위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"검사 결과가 전반적으로 안정적이에요. 상담에서 더 자세히 확인해보세요." → 안심 + 가벼운 참여 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내재화만 준임상
(샘플 보고서 패턴)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"정서적인 부분에서 조금 더 살펴볼 필요가 있어요. 상담에서 아이의 마음을 함께 이해해보세요." → 공감 + 동기 부여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임상 범위 철도 있음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"몇 가지 영역에서 전문가의 관심이 필요한 수준이에요. 빠른 상담 예약을 권장합니다." → 긴급성 강조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8.3 추가 개발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상담사 대시보드: 사전 질문 요약 뷰, 보호자 관심사 사전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Calendar API OAuth 연동 (.ics 대체)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카카오 알림톡 / 문자 리마인더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LLM 동적 메시지 생성 (연령대별 맞춤)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보완이 필요한 사항 (본 개발 전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동의: 사전 질문 수집·리마인더 발송 시 정보 활용 동의 절차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상담사 시스템 연동: 수집된 사전 질문의 실제 전달 파이프라인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실시간 슬롯 연동: 상담사 스케줄 API 연동으로 하드코딩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응답 품질 검수: 우회 질문 등 얣지케이스 추가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오류 처리: Ollama 미실행 시 fallback UI 개선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7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4_before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725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(주)인사이터 내부 기획 문서  |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아맘때 Engage — 보호자 상담 예약 AI 솔루션 기획안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2026-06-02T07:02:15.174Z</dcterms:created>
  <dcterms:modified xsi:type="dcterms:W3CDTF">2026-06-02T07:02:15.174Z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