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rPr>
          <w:b/>
        </w:rPr>
        <w:t>SimpliaLeads</w:t>
      </w:r>
    </w:p>
    <w:p>
      <w:pPr>
        <w:pStyle w:val="SubtitleCustom"/>
      </w:pPr>
      <w:r>
        <w:t>Pestaña funcional propuesta - Lead Qualification / Scoring</w:t>
      </w:r>
    </w:p>
    <w:p>
      <w:pPr>
        <w:pStyle w:val="SmallMuted"/>
      </w:pPr>
      <w:r>
        <w:t>Versión reducida | Abril 2026 | Documento funcional para producto, UX y desarrollo</w:t>
      </w:r>
    </w:p>
    <w:tbl>
      <w:tblPr>
        <w:tblStyle w:val="TableGrid"/>
        <w:tblW w:type="auto" w:w="0"/>
        <w:jc w:val="center"/>
        <w:tblLook w:firstColumn="1" w:firstRow="1" w:lastColumn="0" w:lastRow="0" w:noHBand="0" w:noVBand="1" w:val="04A0"/>
      </w:tblPr>
      <w:tblGrid>
        <w:gridCol w:w="10086"/>
      </w:tblGrid>
      <w:tr>
        <w:tc>
          <w:tcPr>
            <w:tcW w:type="dxa" w:w="10086"/>
            <w:vAlign w:val="center"/>
            <w:tcMar>
              <w:top w:w="80" w:type="dxa"/>
              <w:start w:w="100" w:type="dxa"/>
              <w:bottom w:w="80" w:type="dxa"/>
              <w:end w:w="100" w:type="dxa"/>
            </w:tcMar>
            <w:shd w:fill="EAF2F8"/>
          </w:tcPr>
          <w:p>
            <w:pPr/>
            <w:r>
              <w:rPr>
                <w:b/>
              </w:rPr>
              <w:t xml:space="preserve">Objetivo. </w:t>
            </w:r>
            <w:r>
              <w:t>Analizar la calidad de los leads y validar si el scoring está identificando correctamente cuáles tienen mayor probabilidad de avanzar en el funnel.</w:t>
            </w:r>
          </w:p>
          <w:p>
            <w:r>
              <w:rPr>
                <w:b/>
              </w:rPr>
              <w:t xml:space="preserve">Pregunta principal. </w:t>
            </w:r>
            <w:r>
              <w:t>¿Qué tan buena es la calidad de los leads que estamos captando y cómo cambia por canal, campaña y etiqueta?</w:t>
            </w:r>
          </w:p>
          <w:p>
            <w:r>
              <w:rPr>
                <w:b/>
              </w:rPr>
              <w:t xml:space="preserve">Rol dentro del producto. </w:t>
            </w:r>
            <w:r>
              <w:t>Esta pestaña complementa Funnel, Performance y Operational Efficiency. Su foco es la calidad del lead como dimensión analítica propia.</w:t>
            </w:r>
          </w:p>
        </w:tc>
      </w:tr>
    </w:tbl>
    <w:p/>
    <w:p>
      <w:pPr>
        <w:pStyle w:val="HeadingBlue"/>
      </w:pPr>
      <w:r>
        <w:t>1. Filtros globales</w:t>
      </w:r>
    </w:p>
    <w:p>
      <w:pPr/>
      <w:r>
        <w:rPr>
          <w:b/>
        </w:rPr>
        <w:t xml:space="preserve">Filtros obligatorios: </w:t>
      </w:r>
      <w:r>
        <w:t>rango de fecha, canal, campaña, etiqueta, responsable/owner, estado actual, etapa del funnel y bucket de score.</w:t>
      </w:r>
    </w:p>
    <w:p>
      <w:pPr>
        <w:pStyle w:val="HeadingBlue"/>
      </w:pPr>
      <w:r>
        <w:t>2. KPIs cruciales</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tcMar>
              <w:top w:w="80" w:type="dxa"/>
              <w:start w:w="100" w:type="dxa"/>
              <w:bottom w:w="80" w:type="dxa"/>
              <w:end w:w="100" w:type="dxa"/>
            </w:tcMar>
            <w:shd w:fill="D9E8F5"/>
          </w:tcPr>
          <w:p>
            <w:r>
              <w:rPr>
                <w:b/>
              </w:rPr>
              <w:t>KPI</w:t>
            </w:r>
          </w:p>
        </w:tc>
        <w:tc>
          <w:tcPr>
            <w:tcW w:type="dxa" w:w="3362"/>
            <w:vAlign w:val="center"/>
            <w:tcMar>
              <w:top w:w="80" w:type="dxa"/>
              <w:start w:w="100" w:type="dxa"/>
              <w:bottom w:w="80" w:type="dxa"/>
              <w:end w:w="100" w:type="dxa"/>
            </w:tcMar>
            <w:shd w:fill="D9E8F5"/>
          </w:tcPr>
          <w:p>
            <w:r>
              <w:rPr>
                <w:b/>
              </w:rPr>
              <w:t>Qué mide</w:t>
            </w:r>
          </w:p>
        </w:tc>
        <w:tc>
          <w:tcPr>
            <w:tcW w:type="dxa" w:w="3362"/>
            <w:vAlign w:val="center"/>
            <w:tcMar>
              <w:top w:w="80" w:type="dxa"/>
              <w:start w:w="100" w:type="dxa"/>
              <w:bottom w:w="80" w:type="dxa"/>
              <w:end w:w="100" w:type="dxa"/>
            </w:tcMar>
            <w:shd w:fill="D9E8F5"/>
          </w:tcPr>
          <w:p>
            <w:r>
              <w:rPr>
                <w:b/>
              </w:rPr>
              <w:t>Por qué es crítico</w:t>
            </w:r>
          </w:p>
        </w:tc>
      </w:tr>
      <w:tr>
        <w:tc>
          <w:tcPr>
            <w:tcW w:type="dxa" w:w="3362"/>
          </w:tcPr>
          <w:p>
            <w:r>
              <w:t>Lead score promedio</w:t>
            </w:r>
          </w:p>
        </w:tc>
        <w:tc>
          <w:tcPr>
            <w:tcW w:type="dxa" w:w="3362"/>
          </w:tcPr>
          <w:p>
            <w:r>
              <w:t>Calidad promedio de los leads del periodo filtrado.</w:t>
            </w:r>
          </w:p>
        </w:tc>
        <w:tc>
          <w:tcPr>
            <w:tcW w:type="dxa" w:w="3362"/>
          </w:tcPr>
          <w:p>
            <w:r>
              <w:t>Resume el nivel general de calidad de entrada.</w:t>
            </w:r>
          </w:p>
        </w:tc>
      </w:tr>
      <w:tr>
        <w:tc>
          <w:tcPr>
            <w:tcW w:type="dxa" w:w="3362"/>
          </w:tcPr>
          <w:p>
            <w:r>
              <w:t>% de leads high quality</w:t>
            </w:r>
          </w:p>
        </w:tc>
        <w:tc>
          <w:tcPr>
            <w:tcW w:type="dxa" w:w="3362"/>
          </w:tcPr>
          <w:p>
            <w:r>
              <w:t>Porcentaje de leads que superan el umbral alto de calificación.</w:t>
            </w:r>
          </w:p>
        </w:tc>
        <w:tc>
          <w:tcPr>
            <w:tcW w:type="dxa" w:w="3362"/>
          </w:tcPr>
          <w:p>
            <w:r>
              <w:t>Indica la proporción de oportunidades con mayor potencial.</w:t>
            </w:r>
          </w:p>
        </w:tc>
      </w:tr>
      <w:tr>
        <w:tc>
          <w:tcPr>
            <w:tcW w:type="dxa" w:w="3362"/>
          </w:tcPr>
          <w:p>
            <w:r>
              <w:t>Conversión a cita de leads high quality</w:t>
            </w:r>
          </w:p>
        </w:tc>
        <w:tc>
          <w:tcPr>
            <w:tcW w:type="dxa" w:w="3362"/>
          </w:tcPr>
          <w:p>
            <w:r>
              <w:t>Porcentaje de leads high quality que llegan a cita.</w:t>
            </w:r>
          </w:p>
        </w:tc>
        <w:tc>
          <w:tcPr>
            <w:tcW w:type="dxa" w:w="3362"/>
          </w:tcPr>
          <w:p>
            <w:r>
              <w:t>Valida si el scoring realmente predice resultado comercial.</w:t>
            </w:r>
          </w:p>
        </w:tc>
      </w:tr>
      <w:tr>
        <w:tc>
          <w:tcPr>
            <w:tcW w:type="dxa" w:w="3362"/>
          </w:tcPr>
          <w:p>
            <w:r>
              <w:t>% de leads low quality</w:t>
            </w:r>
          </w:p>
        </w:tc>
        <w:tc>
          <w:tcPr>
            <w:tcW w:type="dxa" w:w="3362"/>
          </w:tcPr>
          <w:p>
            <w:r>
              <w:t>Porcentaje de leads que caen en el rango bajo de calificación.</w:t>
            </w:r>
          </w:p>
        </w:tc>
        <w:tc>
          <w:tcPr>
            <w:tcW w:type="dxa" w:w="3362"/>
          </w:tcPr>
          <w:p>
            <w:r>
              <w:t>Ayuda a detectar exceso de volumen con baja calidad.</w:t>
            </w:r>
          </w:p>
        </w:tc>
      </w:tr>
    </w:tbl>
    <w:p/>
    <w:p>
      <w:pPr>
        <w:pStyle w:val="HeadingBlue"/>
      </w:pPr>
      <w:r>
        <w:t>3. Gráficas clave (mantener 3-4)</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tcMar>
              <w:top w:w="80" w:type="dxa"/>
              <w:start w:w="100" w:type="dxa"/>
              <w:bottom w:w="80" w:type="dxa"/>
              <w:end w:w="100" w:type="dxa"/>
            </w:tcMar>
            <w:shd w:fill="D9E8F5"/>
          </w:tcPr>
          <w:p>
            <w:r>
              <w:rPr>
                <w:b/>
              </w:rPr>
              <w:t>Gráfica</w:t>
            </w:r>
          </w:p>
        </w:tc>
        <w:tc>
          <w:tcPr>
            <w:tcW w:type="dxa" w:w="3362"/>
            <w:vAlign w:val="center"/>
            <w:tcMar>
              <w:top w:w="80" w:type="dxa"/>
              <w:start w:w="100" w:type="dxa"/>
              <w:bottom w:w="80" w:type="dxa"/>
              <w:end w:w="100" w:type="dxa"/>
            </w:tcMar>
            <w:shd w:fill="D9E8F5"/>
          </w:tcPr>
          <w:p>
            <w:r>
              <w:rPr>
                <w:b/>
              </w:rPr>
              <w:t>Tipo</w:t>
            </w:r>
          </w:p>
        </w:tc>
        <w:tc>
          <w:tcPr>
            <w:tcW w:type="dxa" w:w="3362"/>
            <w:vAlign w:val="center"/>
            <w:tcMar>
              <w:top w:w="80" w:type="dxa"/>
              <w:start w:w="100" w:type="dxa"/>
              <w:bottom w:w="80" w:type="dxa"/>
              <w:end w:w="100" w:type="dxa"/>
            </w:tcMar>
            <w:shd w:fill="D9E8F5"/>
          </w:tcPr>
          <w:p>
            <w:r>
              <w:rPr>
                <w:b/>
              </w:rPr>
              <w:t>Función</w:t>
            </w:r>
          </w:p>
        </w:tc>
      </w:tr>
      <w:tr>
        <w:tc>
          <w:tcPr>
            <w:tcW w:type="dxa" w:w="3362"/>
          </w:tcPr>
          <w:p>
            <w:r>
              <w:t>Distribución de leads por bucket de score</w:t>
            </w:r>
          </w:p>
        </w:tc>
        <w:tc>
          <w:tcPr>
            <w:tcW w:type="dxa" w:w="3362"/>
          </w:tcPr>
          <w:p>
            <w:r>
              <w:t>Barras / histograma</w:t>
            </w:r>
          </w:p>
        </w:tc>
        <w:tc>
          <w:tcPr>
            <w:tcW w:type="dxa" w:w="3362"/>
          </w:tcPr>
          <w:p>
            <w:r>
              <w:t>Mostrar cómo se reparte la calidad entre Low, Medium y High quality.</w:t>
            </w:r>
          </w:p>
        </w:tc>
      </w:tr>
      <w:tr>
        <w:tc>
          <w:tcPr>
            <w:tcW w:type="dxa" w:w="3362"/>
          </w:tcPr>
          <w:p>
            <w:r>
              <w:t>Score promedio por canal</w:t>
            </w:r>
          </w:p>
        </w:tc>
        <w:tc>
          <w:tcPr>
            <w:tcW w:type="dxa" w:w="3362"/>
          </w:tcPr>
          <w:p>
            <w:r>
              <w:t>Barras</w:t>
            </w:r>
          </w:p>
        </w:tc>
        <w:tc>
          <w:tcPr>
            <w:tcW w:type="dxa" w:w="3362"/>
          </w:tcPr>
          <w:p>
            <w:r>
              <w:t>Comparar qué canal está trayendo leads de mejor calidad.</w:t>
            </w:r>
          </w:p>
        </w:tc>
      </w:tr>
      <w:tr>
        <w:tc>
          <w:tcPr>
            <w:tcW w:type="dxa" w:w="3362"/>
          </w:tcPr>
          <w:p>
            <w:r>
              <w:t>Score promedio por campaña o etiqueta</w:t>
            </w:r>
          </w:p>
        </w:tc>
        <w:tc>
          <w:tcPr>
            <w:tcW w:type="dxa" w:w="3362"/>
          </w:tcPr>
          <w:p>
            <w:r>
              <w:t>Barras</w:t>
            </w:r>
          </w:p>
        </w:tc>
        <w:tc>
          <w:tcPr>
            <w:tcW w:type="dxa" w:w="3362"/>
          </w:tcPr>
          <w:p>
            <w:r>
              <w:t>Detectar qué campañas o etiquetas generan leads más valiosos.</w:t>
            </w:r>
          </w:p>
        </w:tc>
      </w:tr>
      <w:tr>
        <w:tc>
          <w:tcPr>
            <w:tcW w:type="dxa" w:w="3362"/>
          </w:tcPr>
          <w:p>
            <w:r>
              <w:t>Conversión a cita por bucket de score</w:t>
            </w:r>
          </w:p>
        </w:tc>
        <w:tc>
          <w:tcPr>
            <w:tcW w:type="dxa" w:w="3362"/>
          </w:tcPr>
          <w:p>
            <w:r>
              <w:t>Barras</w:t>
            </w:r>
          </w:p>
        </w:tc>
        <w:tc>
          <w:tcPr>
            <w:tcW w:type="dxa" w:w="3362"/>
          </w:tcPr>
          <w:p>
            <w:r>
              <w:t>Comprobar si el scoring tiene valor predictivo real.</w:t>
            </w:r>
          </w:p>
        </w:tc>
      </w:tr>
    </w:tbl>
    <w:p/>
    <w:p>
      <w:pPr>
        <w:pStyle w:val="HeadingBlue"/>
      </w:pPr>
      <w:r>
        <w:t>4. Sección complementaria - Reglas activas de calificación</w:t>
      </w:r>
    </w:p>
    <w:p>
      <w:pPr/>
      <w:r>
        <w:rPr>
          <w:b/>
        </w:rPr>
        <w:t xml:space="preserve">Descripción. </w:t>
      </w:r>
      <w:r>
        <w:t>Esta sección debe mostrarse como un bloque resumido de contexto, no como el centro analítico de la pestaña. Su objetivo es hacer visible la lógica vigente de scoring para que el usuario entienda bajo qué condiciones se está calificando cada lead.</w:t>
      </w:r>
    </w:p>
    <w:p>
      <w:pPr/>
      <w:r>
        <w:rPr>
          <w:b/>
        </w:rPr>
        <w:t xml:space="preserve">Contenido mínimo recomendado: </w:t>
      </w:r>
      <w:r>
        <w:t>criterio, peso, condición, estado activo e identificación de la versión de scoring.</w:t>
      </w:r>
    </w:p>
    <w:p>
      <w:pPr/>
      <w:r>
        <w:rPr>
          <w:b/>
        </w:rPr>
        <w:t xml:space="preserve">Recomendación UX: </w:t>
      </w:r>
      <w:r>
        <w:t>ubicarla en un panel lateral o bloque inferior compacto, como snapshot de referencia, no como editor completo de reglas.</w:t>
      </w:r>
    </w:p>
    <w:p>
      <w:pPr>
        <w:pStyle w:val="HeadingBlue"/>
      </w:pPr>
      <w:r>
        <w:t>5. Layout recomendado</w:t>
      </w:r>
    </w:p>
    <w:tbl>
      <w:tblPr>
        <w:tblStyle w:val="TableGrid"/>
        <w:tblW w:type="auto" w:w="0"/>
        <w:jc w:val="center"/>
        <w:tblLook w:firstColumn="1" w:firstRow="1" w:lastColumn="0" w:lastRow="0" w:noHBand="0" w:noVBand="1" w:val="04A0"/>
      </w:tblPr>
      <w:tblGrid>
        <w:gridCol w:w="5043"/>
        <w:gridCol w:w="5043"/>
      </w:tblGrid>
      <w:tr>
        <w:tc>
          <w:tcPr>
            <w:tcW w:type="dxa" w:w="5043"/>
            <w:vAlign w:val="center"/>
            <w:tcMar>
              <w:top w:w="80" w:type="dxa"/>
              <w:start w:w="100" w:type="dxa"/>
              <w:bottom w:w="80" w:type="dxa"/>
              <w:end w:w="100" w:type="dxa"/>
            </w:tcMar>
            <w:shd w:fill="D9E8F5"/>
          </w:tcPr>
          <w:p>
            <w:r>
              <w:rPr>
                <w:b/>
              </w:rPr>
              <w:t>Bloque</w:t>
            </w:r>
          </w:p>
        </w:tc>
        <w:tc>
          <w:tcPr>
            <w:tcW w:type="dxa" w:w="5043"/>
            <w:vAlign w:val="center"/>
            <w:tcMar>
              <w:top w:w="80" w:type="dxa"/>
              <w:start w:w="100" w:type="dxa"/>
              <w:bottom w:w="80" w:type="dxa"/>
              <w:end w:w="100" w:type="dxa"/>
            </w:tcMar>
            <w:shd w:fill="D9E8F5"/>
          </w:tcPr>
          <w:p>
            <w:r>
              <w:rPr>
                <w:b/>
              </w:rPr>
              <w:t>Contenido</w:t>
            </w:r>
          </w:p>
        </w:tc>
      </w:tr>
      <w:tr>
        <w:tc>
          <w:tcPr>
            <w:tcW w:type="dxa" w:w="5043"/>
          </w:tcPr>
          <w:p>
            <w:r>
              <w:t>Bloque superior</w:t>
            </w:r>
          </w:p>
        </w:tc>
        <w:tc>
          <w:tcPr>
            <w:tcW w:type="dxa" w:w="5043"/>
          </w:tcPr>
          <w:p>
            <w:r>
              <w:t>Filtros globales + 4 KPI cards.</w:t>
            </w:r>
          </w:p>
        </w:tc>
      </w:tr>
      <w:tr>
        <w:tc>
          <w:tcPr>
            <w:tcW w:type="dxa" w:w="5043"/>
          </w:tcPr>
          <w:p>
            <w:r>
              <w:t>Bloque medio</w:t>
            </w:r>
          </w:p>
        </w:tc>
        <w:tc>
          <w:tcPr>
            <w:tcW w:type="dxa" w:w="5043"/>
          </w:tcPr>
          <w:p>
            <w:r>
              <w:t>Distribución por bucket, score por canal, score por campaña/etiqueta y conversión a cita por bucket.</w:t>
            </w:r>
          </w:p>
        </w:tc>
      </w:tr>
      <w:tr>
        <w:tc>
          <w:tcPr>
            <w:tcW w:type="dxa" w:w="5043"/>
          </w:tcPr>
          <w:p>
            <w:r>
              <w:t>Bloque lateral o inferior pequeño</w:t>
            </w:r>
          </w:p>
        </w:tc>
        <w:tc>
          <w:tcPr>
            <w:tcW w:type="dxa" w:w="5043"/>
          </w:tcPr>
          <w:p>
            <w:r>
              <w:t>Reglas activas de calificación.</w:t>
            </w:r>
          </w:p>
        </w:tc>
      </w:tr>
      <w:tr>
        <w:tc>
          <w:tcPr>
            <w:tcW w:type="dxa" w:w="5043"/>
          </w:tcPr>
          <w:p>
            <w:r>
              <w:t>Bloque final</w:t>
            </w:r>
          </w:p>
        </w:tc>
        <w:tc>
          <w:tcPr>
            <w:tcW w:type="dxa" w:w="5043"/>
          </w:tcPr>
          <w:p>
            <w:r>
              <w:t>Tabla detallada solo si se requiere drill-down o exportación.</w:t>
            </w:r>
          </w:p>
        </w:tc>
      </w:tr>
    </w:tbl>
    <w:p/>
    <w:tbl>
      <w:tblPr>
        <w:tblStyle w:val="TableGrid"/>
        <w:tblW w:type="auto" w:w="0"/>
        <w:jc w:val="center"/>
        <w:tblLook w:firstColumn="1" w:firstRow="1" w:lastColumn="0" w:lastRow="0" w:noHBand="0" w:noVBand="1" w:val="04A0"/>
      </w:tblPr>
      <w:tblGrid>
        <w:gridCol w:w="10086"/>
      </w:tblGrid>
      <w:tr>
        <w:tc>
          <w:tcPr>
            <w:tcW w:type="dxa" w:w="10086"/>
            <w:vAlign w:val="center"/>
            <w:tcMar>
              <w:top w:w="80" w:type="dxa"/>
              <w:start w:w="100" w:type="dxa"/>
              <w:bottom w:w="80" w:type="dxa"/>
              <w:end w:w="100" w:type="dxa"/>
            </w:tcMar>
            <w:shd w:fill="F5F7FA"/>
          </w:tcPr>
          <w:p>
            <w:r>
              <w:rPr>
                <w:b/>
              </w:rPr>
              <w:t xml:space="preserve">Recomendación final. </w:t>
            </w:r>
            <w:r>
              <w:t>Si el equipo quiere mantener el dashboard compacto, esta pestaña debe quedarse enfocada en calidad del input y valor predictivo del scoring, evitando duplicar la lectura de la pestaña de performance.</w:t>
            </w:r>
          </w:p>
        </w:tc>
      </w:tr>
    </w:tbl>
    <w:sectPr w:rsidR="00FC693F" w:rsidRPr="0006063C" w:rsidSect="00034616">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40"/>
    </w:pPr>
    <w:rPr>
      <w:rFonts w:ascii="Aptos" w:hAnsi="Aptos" w:eastAsia="Aptos"/>
      <w:b/>
      <w:color w:val="193F6B"/>
      <w:sz w:val="40"/>
    </w:rPr>
  </w:style>
  <w:style w:type="paragraph" w:customStyle="1" w:styleId="SubtitleCustom">
    <w:name w:val="SubtitleCustom"/>
    <w:basedOn w:val="Normal"/>
    <w:pPr>
      <w:spacing w:before="0" w:after="280"/>
    </w:pPr>
    <w:rPr>
      <w:rFonts w:ascii="Aptos" w:hAnsi="Aptos" w:eastAsia="Aptos"/>
      <w:b w:val="0"/>
      <w:color w:val="5A5A5A"/>
      <w:sz w:val="21"/>
    </w:rPr>
  </w:style>
  <w:style w:type="paragraph" w:customStyle="1" w:styleId="HeadingBlue">
    <w:name w:val="HeadingBlue"/>
    <w:basedOn w:val="Normal"/>
    <w:pPr>
      <w:spacing w:before="200" w:after="80"/>
    </w:pPr>
    <w:rPr>
      <w:rFonts w:ascii="Aptos" w:hAnsi="Aptos" w:eastAsia="Aptos"/>
      <w:b/>
      <w:color w:val="193F6B"/>
      <w:sz w:val="26"/>
    </w:rPr>
  </w:style>
  <w:style w:type="paragraph" w:customStyle="1" w:styleId="Subhead">
    <w:name w:val="Subhead"/>
    <w:basedOn w:val="Normal"/>
    <w:pPr>
      <w:spacing w:before="120" w:after="60"/>
    </w:pPr>
    <w:rPr>
      <w:rFonts w:ascii="Aptos" w:hAnsi="Aptos" w:eastAsia="Aptos"/>
      <w:b/>
      <w:color w:val="323232"/>
      <w:sz w:val="22"/>
    </w:rPr>
  </w:style>
  <w:style w:type="paragraph" w:customStyle="1" w:styleId="SmallMuted">
    <w:name w:val="SmallMuted"/>
    <w:basedOn w:val="Normal"/>
    <w:pPr>
      <w:spacing w:before="0" w:after="80"/>
    </w:pPr>
    <w:rPr>
      <w:rFonts w:ascii="Aptos" w:hAnsi="Aptos" w:eastAsia="Aptos"/>
      <w:b w:val="0"/>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