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2D657F"/>
          <w:sz w:val="24"/>
        </w:rPr>
        <w:t>DOSSIÊ DE AUDITORIA</w:t>
      </w:r>
    </w:p>
    <w:p>
      <w:pPr>
        <w:pStyle w:val="Title"/>
        <w:jc w:val="center"/>
      </w:pPr>
      <w:r>
        <w:t>Projeto Realizando Potenciais</w:t>
      </w:r>
    </w:p>
    <w:p>
      <w:pPr>
        <w:jc w:val="center"/>
      </w:pPr>
      <w:r>
        <w:rPr>
          <w:sz w:val="30"/>
        </w:rPr>
        <w:t>Panorama financeiro operacional e de marketing</w:t>
      </w:r>
    </w:p>
    <w:p>
      <w:pPr>
        <w:spacing w:before="320"/>
        <w:jc w:val="center"/>
      </w:pPr>
      <w:r>
        <w:rPr>
          <w:b/>
        </w:rPr>
        <w:t>Período analisado</w:t>
      </w:r>
    </w:p>
    <w:p>
      <w:pPr>
        <w:jc w:val="center"/>
      </w:pPr>
      <w:r>
        <w:t>Janeiro a agosto de 2026</w:t>
        <w:br/>
        <w:t>Dados de performance e plataformas até 20 de agosto de 2026</w:t>
      </w:r>
    </w:p>
    <w:p>
      <w:pPr>
        <w:spacing w:before="1400"/>
        <w:jc w:val="center"/>
      </w:pPr>
      <w:r>
        <w:rPr>
          <w:b/>
          <w:sz w:val="24"/>
        </w:rPr>
        <w:t>Conclusão executiva</w:t>
      </w:r>
    </w:p>
    <w:p>
      <w:pPr>
        <w:jc w:val="center"/>
      </w:pPr>
      <w:r>
        <w:t>O projeto está positivo no acumulado, mas a margem registrada é estreita e depende de poucos meses de forte faturamento. Três reconciliações — receita, tráfego e empréstimo POUPEX — precisam ser concluídas antes do encerramento definitivo da auditoria.</w:t>
      </w:r>
    </w:p>
    <w:p>
      <w:r>
        <w:br w:type="page"/>
      </w:r>
    </w:p>
    <w:p>
      <w:pPr>
        <w:pStyle w:val="Heading1"/>
        <w:keepNext/>
      </w:pPr>
      <w:r>
        <w:t>Resumo executivo</w:t>
      </w:r>
    </w:p>
    <w:p>
      <w:r>
        <w:t>Esta análise consolida a aba SCP, os extratos da Hotmart e da Principia, os investimentos de mídia informados e o relatório de redes sociais. O objetivo é separar desempenho operacional, movimentação financeira e eficiência de marketing, além de identificar lacunas que afetam a confiabilidade do resultado.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096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2232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Acumulado</w:t>
            </w:r>
          </w:p>
        </w:tc>
        <w:tc>
          <w:tcPr>
            <w:tcW w:type="dxa" w:w="4824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Leitura</w:t>
            </w:r>
          </w:p>
        </w:tc>
      </w:tr>
      <w:t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Faturamento SCP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R$ 293.206,76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Base gerencial registrada</w:t>
            </w:r>
          </w:p>
        </w:tc>
      </w:tr>
      <w:t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color w:val="263238"/>
                <w:sz w:val="17"/>
              </w:rPr>
              <w:t>Custos SCP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R$ 275.870,85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94,1% do faturamento</w:t>
            </w:r>
          </w:p>
        </w:tc>
      </w:tr>
      <w:t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Resultado SCP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R$ 17.335,91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Positivo, porém estreito</w:t>
            </w:r>
          </w:p>
        </w:tc>
      </w:tr>
      <w:t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color w:val="263238"/>
                <w:sz w:val="17"/>
              </w:rPr>
              <w:t>Margem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5,9%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Sensível a oscilações mensais</w:t>
            </w:r>
          </w:p>
        </w:tc>
      </w:tr>
      <w:t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Receita líquida nas plataformas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R$ 311.841,60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Antes dos saques</w:t>
            </w:r>
          </w:p>
        </w:tc>
      </w:tr>
      <w:t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color w:val="263238"/>
                <w:sz w:val="17"/>
              </w:rPr>
              <w:t>Diferença de receita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R$ 18.634,84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Pendente de conciliação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Leitura principal</w:t>
      </w:r>
    </w:p>
    <w:p>
      <w:pPr>
        <w:pStyle w:val="ListBullet"/>
        <w:spacing w:after="60"/>
      </w:pPr>
      <w:r>
        <w:t>O resultado acumulado foi sustentado por fevereiro, março e abril; abril respondeu pelo maior excedente mensal.</w:t>
      </w:r>
    </w:p>
    <w:p>
      <w:pPr>
        <w:pStyle w:val="ListBullet"/>
        <w:spacing w:after="60"/>
      </w:pPr>
      <w:r>
        <w:t>Janeiro, maio, junho e agosto apresentaram déficit; agosto é parcial e não deve ser comparado diretamente com meses completos.</w:t>
      </w:r>
    </w:p>
    <w:p>
      <w:pPr>
        <w:pStyle w:val="ListBullet"/>
        <w:spacing w:after="60"/>
      </w:pPr>
      <w:r>
        <w:t>Equipe, tráfego e contabilidade e jurídico concentram 86,9% dos custos.</w:t>
      </w:r>
    </w:p>
    <w:p>
      <w:pPr>
        <w:pStyle w:val="ListBullet"/>
        <w:spacing w:after="60"/>
      </w:pPr>
      <w:r>
        <w:t>A classificação atual inclui parcelas do POUPEX em contabilidade e jurídico, o que mistura financiamento com despesa operacional.</w:t>
      </w:r>
    </w:p>
    <w:p>
      <w:r>
        <w:br w:type="page"/>
      </w:r>
    </w:p>
    <w:p>
      <w:pPr>
        <w:pStyle w:val="Heading1"/>
        <w:keepNext/>
      </w:pPr>
      <w:r>
        <w:t>Desempenho financeiro mensal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108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Mês</w:t>
            </w:r>
          </w:p>
        </w:tc>
        <w:tc>
          <w:tcPr>
            <w:tcW w:type="dxa" w:w="2088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Faturamento</w:t>
            </w:r>
          </w:p>
        </w:tc>
        <w:tc>
          <w:tcPr>
            <w:tcW w:type="dxa" w:w="2088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Custos</w:t>
            </w:r>
          </w:p>
        </w:tc>
        <w:tc>
          <w:tcPr>
            <w:tcW w:type="dxa" w:w="2088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Resultado</w:t>
            </w:r>
          </w:p>
        </w:tc>
        <w:tc>
          <w:tcPr>
            <w:tcW w:type="dxa" w:w="2232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Custos sobre faturamento</w:t>
            </w:r>
          </w:p>
        </w:tc>
      </w:tr>
      <w:t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Jan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R$ 3.300,33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R$ 42.214,31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–R$ 38.913,98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1279,1%</w:t>
            </w:r>
          </w:p>
        </w:tc>
      </w:tr>
      <w:t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color w:val="263238"/>
                <w:sz w:val="17"/>
              </w:rPr>
              <w:t>Fev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R$ 50.438,15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R$ 30.299,59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R$ 20.138,56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60,1%</w:t>
            </w:r>
          </w:p>
        </w:tc>
      </w:tr>
      <w:t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Mar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R$ 58.985,24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R$ 23.472,05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R$ 35.513,19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39,8%</w:t>
            </w:r>
          </w:p>
        </w:tc>
      </w:tr>
      <w:t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color w:val="263238"/>
                <w:sz w:val="17"/>
              </w:rPr>
              <w:t>Abr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R$ 82.292,63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R$ 23.364,10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R$ 58.928,53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28,4%</w:t>
            </w:r>
          </w:p>
        </w:tc>
      </w:tr>
      <w:t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Mai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R$ 23.799,94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R$ 33.691,51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–R$ 9.891,57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141,6%</w:t>
            </w:r>
          </w:p>
        </w:tc>
      </w:tr>
      <w:t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color w:val="263238"/>
                <w:sz w:val="17"/>
              </w:rPr>
              <w:t>Jun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R$ 24.126,86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R$ 37.257,80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–R$ 13.130,94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154,4%</w:t>
            </w:r>
          </w:p>
        </w:tc>
      </w:tr>
      <w:t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Jul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R$ 42.056,75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R$ 35.397,66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R$ 6.659,09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84,2%</w:t>
            </w:r>
          </w:p>
        </w:tc>
      </w:tr>
      <w:t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color w:val="263238"/>
                <w:sz w:val="17"/>
              </w:rPr>
              <w:t>Ago*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R$ 8.206,86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R$ 50.173,83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–R$ 41.966,97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611,4%</w:t>
            </w:r>
          </w:p>
        </w:tc>
      </w:tr>
      <w:tr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Total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R$ 293.206,76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R$ 275.870,85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R$ 17.335,91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94,1%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6078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s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07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Abril foi o mês de melhor desempenho, com resultado de R$ 58,9 mil. Janeiro e agosto concentraram os maiores déficits. A leitura de agosto é provisória porque o período não está completo.</w:t>
      </w:r>
    </w:p>
    <w:p>
      <w:r>
        <w:br w:type="page"/>
      </w:r>
    </w:p>
    <w:p>
      <w:pPr>
        <w:pStyle w:val="Heading1"/>
        <w:keepNext/>
      </w:pPr>
      <w:r>
        <w:t>Resultado e sustentabilidade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3554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a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55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Interpretação</w:t>
      </w:r>
    </w:p>
    <w:p>
      <w:r>
        <w:t>A margem acumulada de 5,9% oferece pouca proteção contra reembolsos, aumento de mídia, oscilações de conversão ou despesas não registradas. O projeto precisa preservar um faturamento mensal acima de aproximadamente R$ 34,5 mil, média dos custos registrados, apenas para manter o equilíbrio de caixa.</w:t>
      </w:r>
    </w:p>
    <w:p>
      <w:r>
        <w:t>O padrão mensal também indica dependência de picos de venda. Sem os resultados de março e abril, o acumulado seria negativo. Isso reforça a necessidade de separar receita recorrente, lançamentos e vendas pontuais.</w:t>
      </w:r>
    </w:p>
    <w:p>
      <w:pPr>
        <w:pStyle w:val="Heading2"/>
        <w:keepNext/>
      </w:pPr>
      <w:r>
        <w:t>Cenário gerencial do financiamento</w:t>
      </w:r>
    </w:p>
    <w:p>
      <w:r>
        <w:t>As parcelas do POUPEX somam aproximadamente R$ 48,8 mil no período e estão classificadas como contabilidade e jurídico. Em uma visão puramente indicativa, retirando essas parcelas do custo operacional até que principal e juros sejam separados, o resultado seria próximo de R$ 66,1 mil e a margem, de 22,6%. Esse cenário não substitui a conciliação do contrato.</w:t>
      </w:r>
    </w:p>
    <w:p>
      <w:r>
        <w:br w:type="page"/>
      </w:r>
    </w:p>
    <w:p>
      <w:pPr>
        <w:pStyle w:val="Heading1"/>
        <w:keepNext/>
      </w:pPr>
      <w:r>
        <w:t>Estrutura de custos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4968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Categoria</w:t>
            </w:r>
          </w:p>
        </w:tc>
        <w:tc>
          <w:tcPr>
            <w:tcW w:type="dxa" w:w="2448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Valor</w:t>
            </w:r>
          </w:p>
        </w:tc>
        <w:tc>
          <w:tcPr>
            <w:tcW w:type="dxa" w:w="180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Participação</w:t>
            </w:r>
          </w:p>
        </w:tc>
      </w:tr>
      <w:t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Equipe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R$ 115.412,23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41,8%</w:t>
            </w:r>
          </w:p>
        </w:tc>
      </w:tr>
      <w:t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color w:val="263238"/>
                <w:sz w:val="17"/>
              </w:rPr>
              <w:t>Tráfego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R$ 67.906,69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24,6%</w:t>
            </w:r>
          </w:p>
        </w:tc>
      </w:tr>
      <w:t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Contabilidade e jurídico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R$ 56.523,92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20,5%</w:t>
            </w:r>
          </w:p>
        </w:tc>
      </w:tr>
      <w:t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color w:val="263238"/>
                <w:sz w:val="17"/>
              </w:rPr>
              <w:t>Ferramentas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R$ 18.378,86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6,7%</w:t>
            </w:r>
          </w:p>
        </w:tc>
      </w:tr>
      <w:t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Reembolsos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R$ 14.000,00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5,1%</w:t>
            </w:r>
          </w:p>
        </w:tc>
      </w:tr>
      <w:t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color w:val="263238"/>
                <w:sz w:val="17"/>
              </w:rPr>
              <w:t>Treinamentos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R$ 1.583,33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0,6%</w:t>
            </w:r>
          </w:p>
        </w:tc>
      </w:tr>
      <w:t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Impostos e taxas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R$ 997,81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0,4%</w:t>
            </w:r>
          </w:p>
        </w:tc>
      </w:tr>
      <w:t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color w:val="263238"/>
                <w:sz w:val="17"/>
              </w:rPr>
              <w:t>Papelaria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R$ 590,00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0,2%</w:t>
            </w:r>
          </w:p>
        </w:tc>
      </w:tr>
      <w:tr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Registros e domínios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R$ 478,01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0,2%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7873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87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Pontos de atenção</w:t>
      </w:r>
    </w:p>
    <w:p>
      <w:pPr>
        <w:pStyle w:val="ListBullet"/>
        <w:spacing w:after="60"/>
      </w:pPr>
      <w:r>
        <w:t>Equipe totalizou R$ 115,4 mil, média simples de R$ 14,4 mil por mês — abaixo da estimativa inicial de R$ 20 mil mensais.</w:t>
      </w:r>
    </w:p>
    <w:p>
      <w:pPr>
        <w:pStyle w:val="ListBullet"/>
        <w:spacing w:after="60"/>
      </w:pPr>
      <w:r>
        <w:t>Tráfego somou R$ 67,9 mil na SCP, acima dos R$ 57,4 mil informados no levantamento de mídia.</w:t>
      </w:r>
    </w:p>
    <w:p>
      <w:pPr>
        <w:pStyle w:val="ListBullet"/>
        <w:spacing w:after="60"/>
      </w:pPr>
      <w:r>
        <w:t>Reembolsos de R$ 14 mil devem ser reconciliados com produto, cliente e plataforma para evitar duplicidade com estornos já líquidos.</w:t>
      </w:r>
    </w:p>
    <w:p>
      <w:pPr>
        <w:pStyle w:val="ListBullet"/>
        <w:spacing w:after="60"/>
      </w:pPr>
      <w:r>
        <w:t>De maio a agosto, as categorias estavam vazias na SCP; a divisão gerencial foi reconstruída pela descrição dos lançamentos e deve ser validada.</w:t>
      </w:r>
    </w:p>
    <w:p>
      <w:r>
        <w:br w:type="page"/>
      </w:r>
    </w:p>
    <w:p>
      <w:pPr>
        <w:pStyle w:val="Heading1"/>
        <w:keepNext/>
      </w:pPr>
      <w:r>
        <w:t>Marketing e crescimento de audiência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6624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Métrica</w:t>
            </w:r>
          </w:p>
        </w:tc>
        <w:tc>
          <w:tcPr>
            <w:tcW w:type="dxa" w:w="288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Investimento geral informado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R$ 57.398,76</w:t>
            </w:r>
          </w:p>
        </w:tc>
      </w:tr>
      <w:tr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color w:val="263238"/>
                <w:sz w:val="17"/>
              </w:rPr>
              <w:t>Meta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R$ 55.427,61</w:t>
            </w:r>
          </w:p>
        </w:tc>
      </w:tr>
      <w:tr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LinkedIn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R$ 1.100,00</w:t>
            </w:r>
          </w:p>
        </w:tc>
      </w:tr>
      <w:tr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color w:val="263238"/>
                <w:sz w:val="17"/>
              </w:rPr>
              <w:t>Google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R$ 871,15</w:t>
            </w:r>
          </w:p>
        </w:tc>
      </w:tr>
      <w:tr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Investimento em crescimento de base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R$ 7.986,39</w:t>
            </w:r>
          </w:p>
        </w:tc>
      </w:tr>
      <w:tr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color w:val="263238"/>
                <w:sz w:val="17"/>
              </w:rPr>
              <w:t>Investimento em aquisição de leads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R$ 31.413,51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Desempenho das redes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6624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288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Volume</w:t>
            </w:r>
          </w:p>
        </w:tc>
      </w:tr>
      <w:tr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Publicações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2,38 mil</w:t>
            </w:r>
          </w:p>
        </w:tc>
      </w:tr>
      <w:tr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color w:val="263238"/>
                <w:sz w:val="17"/>
              </w:rPr>
              <w:t>Impressões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5,5 milhões</w:t>
            </w:r>
          </w:p>
        </w:tc>
      </w:tr>
      <w:tr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Alcance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2,8 milhões</w:t>
            </w:r>
          </w:p>
        </w:tc>
      </w:tr>
      <w:tr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color w:val="263238"/>
                <w:sz w:val="17"/>
              </w:rPr>
              <w:t>Curtidas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52,1 mil</w:t>
            </w:r>
          </w:p>
        </w:tc>
      </w:tr>
      <w:tr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Comentários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4,18 mil</w:t>
            </w:r>
          </w:p>
        </w:tc>
      </w:tr>
      <w:tr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color w:val="263238"/>
                <w:sz w:val="17"/>
              </w:rPr>
              <w:t>Novos seguidores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7,84 mil</w:t>
            </w:r>
          </w:p>
        </w:tc>
      </w:tr>
    </w:tbl>
    <w:p>
      <w:pPr>
        <w:spacing w:after="20"/>
      </w:pPr>
    </w:p>
    <w:p>
      <w:r>
        <w:t>O Instagram concentrou aproximadamente 73% das impressões, 87% do alcance e 94% das curtidas. Maio foi o pico de impressões; julho apresentou recuperação de curtidas mesmo com menor volume de publicações.</w:t>
      </w:r>
    </w:p>
    <w:p>
      <w:pPr>
        <w:pStyle w:val="Heading2"/>
        <w:keepNext/>
      </w:pPr>
      <w:r>
        <w:t>Limite da atribuição</w:t>
      </w:r>
    </w:p>
    <w:p>
      <w:r>
        <w:t>Os dados disponíveis permitem medir eficiência agregada de audiência, mas não permitem calcular CPL, CAC ou ROAS por canal. Faltam quantidade de leads por origem, identificação das vendas por campanha e ligação entre UTM, cliente e receita.</w:t>
      </w:r>
    </w:p>
    <w:p>
      <w:r>
        <w:br w:type="page"/>
      </w:r>
    </w:p>
    <w:p>
      <w:pPr>
        <w:pStyle w:val="Heading1"/>
        <w:keepNext/>
      </w:pPr>
      <w:r>
        <w:t>Achados de auditoria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4392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Achado</w:t>
            </w:r>
          </w:p>
        </w:tc>
        <w:tc>
          <w:tcPr>
            <w:tcW w:type="dxa" w:w="3024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Valor ou impacto</w:t>
            </w:r>
          </w:p>
        </w:tc>
        <w:tc>
          <w:tcPr>
            <w:tcW w:type="dxa" w:w="2304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Classificação</w:t>
            </w:r>
          </w:p>
        </w:tc>
      </w:tr>
      <w:tr>
        <w:tc>
          <w:tcPr>
            <w:tcW w:type="dxa" w:w="43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Receita de plataformas acima da SCP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R$ 18.634,84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Ressalva material</w:t>
            </w:r>
          </w:p>
        </w:tc>
      </w:tr>
      <w:tr>
        <w:tc>
          <w:tcPr>
            <w:tcW w:type="dxa" w:w="43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color w:val="263238"/>
                <w:sz w:val="17"/>
              </w:rPr>
              <w:t>Tráfego da SCP acima do valor informado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R$ 10.507,93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Ressalva material</w:t>
            </w:r>
          </w:p>
        </w:tc>
      </w:tr>
      <w:tr>
        <w:tc>
          <w:tcPr>
            <w:tcW w:type="dxa" w:w="43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POUPEX misturado ao custo operacional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Aprox. R$ 48,8 mil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Reclassificação necessária</w:t>
            </w:r>
          </w:p>
        </w:tc>
      </w:tr>
      <w:tr>
        <w:tc>
          <w:tcPr>
            <w:tcW w:type="dxa" w:w="43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color w:val="263238"/>
                <w:sz w:val="17"/>
              </w:rPr>
              <w:t>Categorias ausentes de maio a agosto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Composição inferida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Controle de cadastro</w:t>
            </w:r>
          </w:p>
        </w:tc>
      </w:tr>
      <w:tr>
        <w:tc>
          <w:tcPr>
            <w:tcW w:type="dxa" w:w="43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Arquivo PrincipiaPay duplicado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9 registros</w:t>
            </w:r>
          </w:p>
        </w:tc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Tratado sem dupla soma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Parecer preliminar</w:t>
      </w:r>
    </w:p>
    <w:p>
      <w:r>
        <w:t>O projeto demonstra capacidade de geração de receita e encerra o período com resultado positivo na SCP. Contudo, o resultado de R$ 17,3 mil e a margem de 5,9% devem permanecer provisórios. A diferença entre plataformas e SCP, a divergência de tráfego e a classificação do POUPEX podem alterar materialmente a leitura final.</w:t>
      </w:r>
    </w:p>
    <w:p>
      <w:pPr>
        <w:pStyle w:val="Heading2"/>
        <w:keepNext/>
      </w:pPr>
      <w:r>
        <w:t>Riscos</w:t>
      </w:r>
    </w:p>
    <w:p>
      <w:pPr>
        <w:pStyle w:val="ListBullet"/>
        <w:spacing w:after="60"/>
      </w:pPr>
      <w:r>
        <w:t>Risco de competência: receitas e custos podem estar registrados em meses diferentes de sua geração.</w:t>
      </w:r>
    </w:p>
    <w:p>
      <w:pPr>
        <w:pStyle w:val="ListBullet"/>
        <w:spacing w:after="60"/>
      </w:pPr>
      <w:r>
        <w:t>Risco de completude: pagamentos realizados por outros CNPJs, contas ou cartões podem não estar na SCP.</w:t>
      </w:r>
    </w:p>
    <w:p>
      <w:pPr>
        <w:pStyle w:val="ListBullet"/>
        <w:spacing w:after="60"/>
      </w:pPr>
      <w:r>
        <w:t>Risco de dupla contagem: reembolsos internos podem coexistir com estornos já descontados pelas plataformas.</w:t>
      </w:r>
    </w:p>
    <w:p>
      <w:pPr>
        <w:pStyle w:val="ListBullet"/>
        <w:spacing w:after="60"/>
      </w:pPr>
      <w:r>
        <w:t>Risco de decisão: métricas de marketing sem atribuição podem direcionar verba para canais sem retorno comprovado.</w:t>
      </w:r>
    </w:p>
    <w:p>
      <w:r>
        <w:br w:type="page"/>
      </w:r>
    </w:p>
    <w:p>
      <w:pPr>
        <w:pStyle w:val="Heading1"/>
        <w:keepNext/>
      </w:pPr>
      <w:r>
        <w:t>Plano de fechamento da auditoria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936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2952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Ação</w:t>
            </w:r>
          </w:p>
        </w:tc>
        <w:tc>
          <w:tcPr>
            <w:tcW w:type="dxa" w:w="3384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Evidência necessária</w:t>
            </w:r>
          </w:p>
        </w:tc>
        <w:tc>
          <w:tcPr>
            <w:tcW w:type="dxa" w:w="2376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1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Conciliar faturamento SCP e plataformas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Extratos, saques, reservas e competência mensal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Explicar R$ 18,6 mil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color w:val="263238"/>
                <w:sz w:val="17"/>
              </w:rPr>
              <w:t>2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Conciliar mídia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Faturas Meta, Google e LinkedIn e razão SCP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Explicar R$ 10,5 mil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3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Reclassificar POUPEX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Contrato e demonstrativo principal versus juros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Resultado operacional correto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color w:val="263238"/>
                <w:sz w:val="17"/>
              </w:rPr>
              <w:t>4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Validar equipe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Folha, prestadores, comissões e pagadores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Confirmar completude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5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Validar reembolsos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Cliente, produto, plataforma e motivo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Eliminar duplicidades</w:t>
            </w:r>
          </w:p>
        </w:tc>
      </w:tr>
      <w:tr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color w:val="263238"/>
                <w:sz w:val="17"/>
              </w:rPr>
              <w:t>6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Implantar atribuição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UTM, lead, venda e canal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CPL, CAC e ROAS confiáveis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Decisões recomendadas</w:t>
      </w:r>
    </w:p>
    <w:p>
      <w:pPr>
        <w:pStyle w:val="ListBullet"/>
        <w:spacing w:after="60"/>
      </w:pPr>
      <w:r>
        <w:t>Adotar uma visão mensal única com receita por competência, caixa recebido e saldo em plataforma separados.</w:t>
      </w:r>
    </w:p>
    <w:p>
      <w:pPr>
        <w:pStyle w:val="ListBullet"/>
        <w:spacing w:after="60"/>
      </w:pPr>
      <w:r>
        <w:t>Criar centros de custo específicos para equipe, mídia, ferramentas, impostos, financiamento e reembolsos.</w:t>
      </w:r>
    </w:p>
    <w:p>
      <w:pPr>
        <w:pStyle w:val="ListBullet"/>
        <w:spacing w:after="60"/>
      </w:pPr>
      <w:r>
        <w:t>Estabelecer meta mínima de margem operacional e teto de custos por canal antes de ampliar investimento.</w:t>
      </w:r>
    </w:p>
    <w:p>
      <w:pPr>
        <w:pStyle w:val="ListBullet"/>
        <w:spacing w:after="60"/>
      </w:pPr>
      <w:r>
        <w:t>Revisar mensalmente a conciliação entre SCP, plataformas, contas bancárias e cartões.</w:t>
      </w:r>
    </w:p>
    <w:p>
      <w:pPr>
        <w:pStyle w:val="Heading2"/>
        <w:keepNext/>
      </w:pPr>
      <w:r>
        <w:t>Conclusão</w:t>
      </w:r>
    </w:p>
    <w:p>
      <w:r>
        <w:t>A prioridade não é apenas reduzir custos, mas melhorar a qualidade da informação financeira. Com as três conciliações materiais concluídas, será possível determinar a margem operacional real, o retorno por canal e o nível sustentável de investimento do projeto.</w:t>
      </w:r>
    </w:p>
    <w:p>
      <w:r>
        <w:br w:type="page"/>
      </w:r>
    </w:p>
    <w:p>
      <w:pPr>
        <w:pStyle w:val="Heading1"/>
        <w:keepNext/>
      </w:pPr>
      <w:r>
        <w:t>Fontes e critérios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536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Fonte</w:t>
            </w:r>
          </w:p>
        </w:tc>
        <w:tc>
          <w:tcPr>
            <w:tcW w:type="dxa" w:w="5112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Uso na análise</w:t>
            </w:r>
          </w:p>
        </w:tc>
      </w:tr>
      <w:tr>
        <w:tc>
          <w:tcPr>
            <w:tcW w:type="dxa" w:w="45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Gastos RP atual jul 2026.xlsx — aba SCP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Faturamento, custos, equipe e classificação mensal</w:t>
            </w:r>
          </w:p>
        </w:tc>
      </w:tr>
      <w:tr>
        <w:tc>
          <w:tcPr>
            <w:tcW w:type="dxa" w:w="45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color w:val="263238"/>
                <w:sz w:val="17"/>
              </w:rPr>
              <w:t>Hotmart — detailed statement BRL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Movimentações, tarifas, reservas, saques e receita líquida</w:t>
            </w:r>
          </w:p>
        </w:tc>
      </w:tr>
      <w:tr>
        <w:tc>
          <w:tcPr>
            <w:tcW w:type="dxa" w:w="45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Principia — financial statements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Entradas, financiamentos, parcelas, IOF e saques</w:t>
            </w:r>
          </w:p>
        </w:tc>
      </w:tr>
      <w:tr>
        <w:tc>
          <w:tcPr>
            <w:tcW w:type="dxa" w:w="45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color w:val="263238"/>
                <w:sz w:val="17"/>
              </w:rPr>
              <w:t>PrincipiaPay — financial statements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Verificação de duplicidade com o extrato completo</w:t>
            </w:r>
          </w:p>
        </w:tc>
      </w:tr>
      <w:tr>
        <w:tc>
          <w:tcPr>
            <w:tcW w:type="dxa" w:w="45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color w:val="263238"/>
                <w:sz w:val="17"/>
              </w:rPr>
              <w:t>Relatório Vanessa Redes Sociais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color w:val="263238"/>
                <w:sz w:val="17"/>
              </w:rPr>
              <w:t>Publicações, alcance, impressões, engajamento e seguidores</w:t>
            </w:r>
          </w:p>
        </w:tc>
      </w:tr>
      <w:tr>
        <w:tc>
          <w:tcPr>
            <w:tcW w:type="dxa" w:w="45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left"/>
            </w:pPr>
            <w:r>
              <w:rPr>
                <w:color w:val="263238"/>
                <w:sz w:val="17"/>
              </w:rPr>
              <w:t>Informações de investimento fornecidas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F8FA"/>
          </w:tcPr>
          <w:p>
            <w:pPr>
              <w:jc w:val="center"/>
            </w:pPr>
            <w:r>
              <w:rPr>
                <w:color w:val="263238"/>
                <w:sz w:val="17"/>
              </w:rPr>
              <w:t>Distribuição por canal e objetivo de mídia</w:t>
            </w:r>
          </w:p>
        </w:tc>
      </w:tr>
    </w:tbl>
    <w:p>
      <w:pPr>
        <w:spacing w:after="20"/>
      </w:pPr>
    </w:p>
    <w:p>
      <w:r>
        <w:t>Critério financeiro: os valores da SCP representam a visão gerencial registrada. Os valores das plataformas representam geração líquida antes de saques. As duas bases não foram tratadas como equivalentes sem conciliação. Agosto é parcial.</w:t>
      </w:r>
    </w:p>
    <w:p>
      <w:r>
        <w:t>Natureza do parecer: auditoria gerencial preliminar baseada nos arquivos disponibilizados. Não constitui auditoria independente, asseguração contábil ou parecer fiscal.</w:t>
      </w:r>
    </w:p>
    <w:sectPr w:rsidR="00FC693F" w:rsidRPr="0006063C" w:rsidSect="00034616">
      <w:footerReference w:type="default" r:id="rId12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6"/>
        <w:sz w:val="16"/>
      </w:rPr>
      <w:t>Dossiê de Auditoria — Projeto Realizando Potenciais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2632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