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center"/>
        <w:shd w:val="clear" w:color="d9e2f2" w:themeColor="accent5" w:themeTint="33" w:fill="d9e2f2" w:themeFill="accent5" w:themeFillTint="33"/>
        <w:rPr>
          <w:highlight w:val="none"/>
        </w:r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between w:val="none" w:color="000000" w:sz="4" w:space="0"/>
        </w:pBdr>
        <w:suppressLineNumbers w:val="0"/>
      </w:pPr>
      <w:r>
        <w:rPr>
          <w:b/>
          <w:bCs/>
          <w:color w:val="auto"/>
          <w:sz w:val="24"/>
          <w:szCs w:val="24"/>
        </w:rPr>
        <w:t xml:space="preserve">Executive Summary</w:t>
      </w:r>
      <w:r/>
    </w:p>
    <w:p>
      <w:pPr>
        <w:jc w:val="both"/>
      </w:pPr>
      <w:r/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3402"/>
      </w:tblGrid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      <wp:simplePos x="0" y="0"/>
                      <wp:positionH relativeFrom="column">
                        <wp:posOffset>-86591</wp:posOffset>
                      </wp:positionH>
                      <wp:positionV relativeFrom="paragraph">
                        <wp:posOffset>44640</wp:posOffset>
                      </wp:positionV>
                      <wp:extent cx="2013711" cy="1425509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2399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013711" cy="14255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3072;o:allowoverlap:true;o:allowincell:true;mso-position-horizontal-relative:text;margin-left:-6.8pt;mso-position-horizontal:absolute;mso-position-vertical-relative:text;margin-top:3.5pt;mso-position-vertical:absolute;width:158.6pt;height:112.2pt;mso-wrap-distance-left:9.1pt;mso-wrap-distance-top:0.0pt;mso-wrap-distance-right:9.1pt;mso-wrap-distance-bottom:0.0pt;rotation:0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jc w:val="center"/>
              <w:shd w:val="clear" w:color="d9e2f2" w:themeColor="accent5" w:themeTint="33" w:fill="d9e2f2" w:themeFill="accent5" w:themeFillTint="33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Identité de l’entreprise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402" w:type="dxa"/>
            <w:vMerge w:val="restart"/>
            <w:textDirection w:val="lrTb"/>
            <w:noWrap w:val="false"/>
          </w:tcPr>
          <w:p>
            <w:pPr>
              <w:jc w:val="center"/>
              <w:shd w:val="clear" w:color="d9e2f2" w:themeColor="accent5" w:themeTint="33" w:fill="d9e2f2" w:themeFill="accent5" w:themeFillTint="33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Responsables du Projet</w:t>
            </w:r>
            <w:r>
              <w:rPr>
                <w:b/>
                <w:bCs/>
                <w:highlight w:val="none"/>
              </w:rPr>
            </w:r>
          </w:p>
        </w:tc>
      </w:tr>
      <w:tr>
        <w:trPr>
          <w:trHeight w:val="2090"/>
        </w:trPr>
        <w:tc>
          <w:tcPr>
            <w:tcW w:w="3118" w:type="dxa"/>
            <w:vMerge w:val="continue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Simplon Occitanie</w:t>
            </w:r>
            <w:r>
              <w:rPr>
                <w:highlight w:val="none"/>
              </w:rPr>
            </w:r>
          </w:p>
          <w:p>
            <w:pPr>
              <w:jc w:val="both"/>
              <w:rPr>
                <w:rFonts w:ascii="Arial" w:hAnsi="Arial" w:eastAsia="Arial" w:cs="Arial"/>
                <w:color w:val="auto"/>
                <w:sz w:val="22"/>
                <w:szCs w:val="22"/>
                <w:highlight w:val="none"/>
              </w:rPr>
            </w:pPr>
            <w:r>
              <w:rPr>
                <w:highlight w:val="none"/>
              </w:rPr>
              <w:t xml:space="preserve">Adresse :</w:t>
            </w:r>
            <w:r>
              <w:rPr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2"/>
                <w:szCs w:val="24"/>
                <w:highlight w:val="none"/>
              </w:rPr>
              <w:t xml:space="preserve">2 rue d'Austerlitz, 31000 Toulouse, France</w:t>
            </w:r>
            <w:r>
              <w:rPr>
                <w:color w:val="auto"/>
                <w:sz w:val="24"/>
                <w:szCs w:val="24"/>
                <w:highlight w:val="none"/>
              </w:rPr>
            </w:r>
            <w:r>
              <w:rPr>
                <w:color w:val="auto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color w:val="auto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auto"/>
                <w:sz w:val="22"/>
                <w:szCs w:val="24"/>
                <w:highlight w:val="none"/>
              </w:rPr>
              <w:t xml:space="preserve">Tel : </w:t>
            </w:r>
            <w:r>
              <w:rPr>
                <w:rFonts w:ascii="Arial" w:hAnsi="Arial" w:eastAsia="Arial" w:cs="Arial"/>
                <w:color w:val="auto"/>
                <w:sz w:val="22"/>
                <w:szCs w:val="24"/>
                <w:highlight w:val="none"/>
              </w:rPr>
              <w:t xml:space="preserve">09.72.65.50.93</w:t>
            </w:r>
            <w:r>
              <w:rPr>
                <w:rFonts w:ascii="Arial" w:hAnsi="Arial" w:eastAsia="Arial" w:cs="Arial"/>
                <w:color w:val="auto"/>
                <w:sz w:val="22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auto"/>
                <w:sz w:val="22"/>
                <w:szCs w:val="24"/>
                <w:highlight w:val="none"/>
              </w:rPr>
            </w:r>
          </w:p>
          <w:p>
            <w:pPr>
              <w:jc w:val="both"/>
              <w:rPr>
                <w:color w:val="auto"/>
                <w:sz w:val="18"/>
                <w:szCs w:val="18"/>
                <w:highlight w:val="none"/>
              </w:rPr>
            </w:pPr>
            <w:r>
              <w:rPr>
                <w:highlight w:val="none"/>
              </w:rPr>
              <w:t xml:space="preserve">Site web : </w:t>
            </w:r>
            <w:hyperlink r:id="rId9" w:tooltip="https://simplon.co/" w:history="1">
              <w:r>
                <w:rPr>
                  <w:rStyle w:val="173"/>
                  <w:rFonts w:ascii="Arial" w:hAnsi="Arial" w:eastAsia="Arial" w:cs="Arial"/>
                  <w:color w:val="auto"/>
                  <w:sz w:val="22"/>
                  <w:szCs w:val="20"/>
                  <w:highlight w:val="none"/>
                </w:rPr>
                <w:t xml:space="preserve">https://simplon.co/</w:t>
              </w:r>
            </w:hyperlink>
            <w:r>
              <w:rPr>
                <w:color w:val="auto"/>
                <w:sz w:val="20"/>
                <w:szCs w:val="20"/>
                <w:highlight w:val="none"/>
              </w:rPr>
            </w:r>
            <w:r>
              <w:rPr>
                <w:color w:val="auto"/>
                <w:sz w:val="18"/>
                <w:szCs w:val="18"/>
                <w:highlight w:val="none"/>
              </w:rPr>
            </w:r>
          </w:p>
        </w:tc>
        <w:tc>
          <w:tcPr>
            <w:tcW w:w="3402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Le Roux </w:t>
            </w:r>
            <w:r>
              <w:rPr>
                <w:highlight w:val="none"/>
              </w:rPr>
              <w:t xml:space="preserve">Dunvael </w:t>
            </w:r>
            <w:r>
              <w:rPr>
                <w:highlight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            </w:t>
            </w:r>
            <w:r>
              <w:rPr>
                <w:highlight w:val="none"/>
              </w:rPr>
              <w:t xml:space="preserve">&amp;</w:t>
            </w:r>
            <w:r>
              <w:rPr>
                <w:highlight w:val="none"/>
              </w:rPr>
            </w:r>
            <w:r/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Méchin Luna</w:t>
            </w:r>
            <w:r>
              <w:rPr>
                <w:highlight w:val="none"/>
              </w:rPr>
            </w:r>
            <w:r/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Alt. Admin. Cloud DevOps</w:t>
            </w:r>
            <w:r>
              <w:rPr>
                <w:highlight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Tel : 07.76.98.45.76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E-mail : </w:t>
            </w:r>
            <w:r>
              <w:rPr>
                <w:highlight w:val="none"/>
              </w:rPr>
            </w:r>
            <w:hyperlink r:id="rId10" w:tooltip="mailto:simplon.lerouxdunvael@gmail.com" w:history="1">
              <w:r>
                <w:rPr>
                  <w:rStyle w:val="173"/>
                  <w:highlight w:val="none"/>
                </w:rPr>
                <w:t xml:space="preserve">simplon.lerouxdunvael@gmail.com</w:t>
              </w:r>
            </w:hyperlink>
            <w:r>
              <w:rPr>
                <w:highlight w:val="none"/>
              </w:rPr>
              <w:t xml:space="preserve"> / </w:t>
            </w:r>
            <w:hyperlink r:id="rId11" w:tooltip="mailto:simplon.luna@gmail.com" w:history="1">
              <w:r>
                <w:rPr>
                  <w:rStyle w:val="173"/>
                  <w:highlight w:val="none"/>
                </w:rPr>
                <w:t xml:space="preserve">simplon.luna@gmail.com</w:t>
              </w:r>
            </w:hyperlink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both"/>
      </w:pPr>
      <w:r/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shd w:val="clear" w:color="d9e2f2" w:themeColor="accent5" w:themeTint="33" w:fill="d9e2f2" w:themeFill="accent5" w:themeFillTint="33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Résumé du projet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Les utilisateurs doivent pouvoir voter sur l’application Voting App et réinitialiser les résultats. Ainsi, l’application doit être hautement disponible, sécurisée et accessible via https et nom de domaine.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both"/>
      </w:pPr>
      <w:r/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shd w:val="clear" w:color="d9e2f2" w:themeColor="accent5" w:themeTint="33" w:fill="d9e2f2" w:themeFill="accent5" w:themeFillTint="33"/>
              <w:rPr>
                <w:b/>
                <w:bCs/>
              </w:rPr>
            </w:pPr>
            <w:r>
              <w:rPr>
                <w:b/>
                <w:bCs/>
              </w:rPr>
              <w:t xml:space="preserve">L’équipe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t xml:space="preserve">Une équipe dynamique, persévérante et rigoureuse, accompagnée par des professionnels avec plus de 15 ans d’expérience sur le terrain et auprès des entreprises.</w:t>
            </w:r>
            <w:r/>
          </w:p>
          <w:p>
            <w:pPr>
              <w:jc w:val="both"/>
            </w:pPr>
            <w:r>
              <w:rPr>
                <w:highlight w:val="none"/>
              </w:rPr>
              <w:t xml:space="preserve">Une équipe dans l’entraide, motivée par le challenge, la découverte et l’apport de solutions.</w:t>
            </w:r>
            <w:r>
              <w:rPr>
                <w:highlight w:val="none"/>
              </w:rPr>
            </w:r>
          </w:p>
        </w:tc>
      </w:tr>
    </w:tbl>
    <w:p>
      <w:pPr>
        <w:jc w:val="both"/>
      </w:pPr>
      <w:r/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shd w:val="clear" w:color="d9e2f2" w:themeColor="accent5" w:themeTint="33" w:fill="d9e2f2" w:themeFill="accent5" w:themeFillTint="33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Solution proposée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Utilisation d’Ingress de Kubernetes afin de pouvoir utiliser le https et de lier l’application Voting App à un nom de domaine Gandi (obtention d’une adresse url : https://www.nomdedomaine.com).</w:t>
            </w:r>
            <w:r>
              <w:rPr>
                <w:highlight w:val="none"/>
              </w:rPr>
            </w:r>
          </w:p>
        </w:tc>
      </w:tr>
    </w:tbl>
    <w:p>
      <w:pPr>
        <w:jc w:val="both"/>
      </w:pPr>
      <w:r/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shd w:val="clear" w:color="d9e2f2" w:themeColor="accent5" w:themeTint="33" w:fill="d9e2f2" w:themeFill="accent5" w:themeFillTint="33"/>
              <w:rPr>
                <w:b/>
                <w:bCs/>
              </w:rPr>
            </w:pPr>
            <w:r>
              <w:rPr>
                <w:b/>
                <w:bCs/>
              </w:rPr>
              <w:t xml:space="preserve">Atouts face à la concurrence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 w:line="285" w:lineRule="atLeast"/>
              <w:shd w:val="clear" w:color="auto" w:fill="auto"/>
              <w:rPr>
                <w:rFonts w:ascii="Arial" w:hAnsi="Arial" w:cs="Arial"/>
                <w:color w:val="auto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Consolas" w:cs="Arial"/>
                <w:color w:val="auto"/>
                <w:sz w:val="22"/>
                <w:szCs w:val="24"/>
                <w:highlight w:val="none"/>
              </w:rPr>
              <w:t xml:space="preserve">Meilleur potentiel de transition vers un autre cloud public.</w:t>
            </w:r>
            <w:r>
              <w:rPr>
                <w:rFonts w:ascii="Arial" w:hAnsi="Arial" w:eastAsia="Consolas" w:cs="Arial"/>
                <w:color w:val="auto"/>
                <w:sz w:val="22"/>
                <w:szCs w:val="24"/>
                <w:highlight w:val="none"/>
              </w:rPr>
            </w:r>
          </w:p>
          <w:p>
            <w:pPr>
              <w:ind w:left="0" w:right="0" w:firstLine="0"/>
              <w:jc w:val="both"/>
              <w:spacing w:before="0" w:after="0" w:line="285" w:lineRule="atLeast"/>
              <w:shd w:val="clear" w:color="auto" w:fill="auto"/>
              <w:rPr>
                <w:rFonts w:ascii="Arial" w:hAnsi="Arial" w:cs="Arial"/>
                <w:color w:val="auto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Consolas" w:cs="Arial"/>
                <w:color w:val="auto"/>
                <w:sz w:val="22"/>
                <w:szCs w:val="24"/>
                <w:highlight w:val="none"/>
              </w:rPr>
              <w:t xml:space="preserve">Moins dépendant des spécificités de l’infrastructure et des services Azure.</w:t>
            </w:r>
            <w:r>
              <w:rPr>
                <w:rFonts w:ascii="Arial" w:hAnsi="Arial" w:eastAsia="Consolas" w:cs="Arial"/>
                <w:color w:val="auto"/>
                <w:sz w:val="22"/>
                <w:szCs w:val="24"/>
                <w:highlight w:val="none"/>
              </w:rPr>
            </w:r>
          </w:p>
          <w:p>
            <w:pPr>
              <w:jc w:val="both"/>
            </w:pPr>
            <w:r>
              <w:t xml:space="preserve">Moins cher qu’un cloud privé et plus sécurisé.</w:t>
            </w:r>
            <w:r/>
          </w:p>
          <w:p>
            <w:pPr>
              <w:jc w:val="both"/>
              <w:rPr>
                <w:highlight w:val="none"/>
              </w:rPr>
            </w:pPr>
            <w:r>
              <w:t xml:space="preserve">Moins cher que les solutions Cloud proposées par Amazon et Google.</w:t>
            </w:r>
            <w:r/>
            <w:r/>
          </w:p>
          <w:p>
            <w:pPr>
              <w:jc w:val="both"/>
            </w:pPr>
            <w:r>
              <w:rPr>
                <w:highlight w:val="none"/>
              </w:rPr>
              <w:t xml:space="preserve">Réponds parfaitement aux besoins du projet.</w:t>
            </w:r>
            <w:r>
              <w:rPr>
                <w:highlight w:val="none"/>
              </w:rPr>
            </w:r>
          </w:p>
        </w:tc>
      </w:tr>
    </w:tbl>
    <w:p>
      <w:pPr>
        <w:jc w:val="both"/>
      </w:pPr>
      <w:r/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shd w:val="clear" w:color="d9e2f2" w:themeColor="accent5" w:themeTint="33" w:fill="d9e2f2" w:themeFill="accent5" w:themeFillTint="33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L’état actuel du projet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Prêt au déploiement et à l’utilisation par le public.</w:t>
            </w:r>
            <w:r>
              <w:rPr>
                <w:highlight w:val="none"/>
              </w:rPr>
            </w:r>
          </w:p>
        </w:tc>
      </w:tr>
    </w:tbl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W w:w="10205" w:type="dxa"/>
            <w:textDirection w:val="lrTb"/>
            <w:noWrap w:val="false"/>
          </w:tcPr>
          <w:p>
            <w:pPr>
              <w:jc w:val="left"/>
              <w:shd w:val="clear" w:color="d9e2f2" w:themeColor="accent5" w:themeTint="33" w:fill="d9e2f2" w:themeFill="accent5" w:themeFillTint="33"/>
            </w:pPr>
            <w:r>
              <w:rPr>
                <w:b/>
                <w:bCs/>
              </w:rPr>
              <w:t xml:space="preserve">Le business plan d’exploitation et plan de financement</w:t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t xml:space="preserve">Déploiement sur un Cluster AKS et paiement à l’utilisation via l’abonnement Azure de Simplon.</w:t>
            </w:r>
            <w:r/>
          </w:p>
          <w:p>
            <w:pPr>
              <w:jc w:val="left"/>
            </w:pPr>
            <w:r>
              <w:t xml:space="preserve">Dépenses d’exploitation : OPEX (en fonction de l’usage).</w:t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jc w:val="left"/>
      </w:pPr>
      <w:r/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W w:w="10205" w:type="dxa"/>
            <w:textDirection w:val="lrTb"/>
            <w:noWrap w:val="false"/>
          </w:tcPr>
          <w:p>
            <w:pPr>
              <w:jc w:val="left"/>
              <w:shd w:val="clear" w:color="d9e2f2" w:themeColor="accent5" w:themeTint="33" w:fill="d9e2f2" w:themeFill="accent5" w:themeFillTint="33"/>
            </w:pPr>
            <w:r>
              <w:t xml:space="preserve">Fonctionnement de Kubernetes</w:t>
            </w:r>
            <w:r/>
            <w:r/>
            <w:r/>
            <w:r/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  <w:u w:val="single"/>
              </w:rPr>
              <w:t xml:space="preserve">Définition</w:t>
            </w:r>
            <w:r>
              <w:rPr>
                <w:highlight w:val="none"/>
              </w:rPr>
              <w:t xml:space="preserve"> : 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t xml:space="preserve">Plateforme de déploiement et de gestion d’infrastructures résilientes, auto-réparatrices et à haute disponibilité.</w:t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Possibilité d’augmenter ou de réduire le nombre de ressources (haute modulabilité).</w:t>
            </w:r>
            <w:r>
              <w:rPr>
                <w:highlight w:val="none"/>
              </w:rPr>
            </w:r>
          </w:p>
          <w:p>
            <w:pPr>
              <w:jc w:val="left"/>
            </w:pPr>
            <w:r/>
            <w:r/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  <w:u w:val="single"/>
              </w:rPr>
              <w:t xml:space="preserve">Fonctionnement</w:t>
            </w:r>
            <w:r>
              <w:rPr>
                <w:highlight w:val="none"/>
              </w:rPr>
              <w:t xml:space="preserve"> :</w:t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Création de pools de nodes dans un cluster. Chaque node ayant son Kubelet agissant comme proxy pour les pods présents en leur sein.</w:t>
            </w:r>
            <w:r>
              <w:rPr>
                <w:highlight w:val="none"/>
              </w:rPr>
            </w:r>
            <w:r/>
          </w:p>
          <w:p>
            <w:pPr>
              <w:jc w:val="left"/>
            </w:pPr>
            <w:r>
              <w:rPr>
                <w:highlight w:val="none"/>
              </w:rPr>
              <w:t xml:space="preserve">Le DNS intégré permet aux services de communiquer avec les pods. Ceux-ci communiquent également entre eux grâce aux Kubelets et à leurs services attribués.</w:t>
            </w:r>
            <w:r>
              <w:rPr>
                <w:highlight w:val="none"/>
              </w:rPr>
            </w:r>
          </w:p>
        </w:tc>
      </w:tr>
    </w:tbl>
    <w:p>
      <w:pPr>
        <w:jc w:val="left"/>
      </w:pPr>
      <w:r/>
      <w:r/>
    </w:p>
    <w:sectPr>
      <w:footnotePr/>
      <w:endnotePr/>
      <w:type w:val="nextPage"/>
      <w:pgSz w:w="11906" w:h="16838" w:orient="portrait"/>
      <w:pgMar w:top="567" w:right="850" w:bottom="567" w:left="85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simplon.co/" TargetMode="External"/><Relationship Id="rId10" Type="http://schemas.openxmlformats.org/officeDocument/2006/relationships/hyperlink" Target="mailto:simplon.lerouxdunvael@gmail.com" TargetMode="External"/><Relationship Id="rId11" Type="http://schemas.openxmlformats.org/officeDocument/2006/relationships/hyperlink" Target="mailto:simplon.lun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2022-10-17T16:39:11Z</dcterms:modified>
</cp:coreProperties>
</file>