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Software Engineering (CS 501)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[Ashmit Gupta] (UI21CS12)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August 2023</w:t>
      </w:r>
    </w:p>
    <w:p w:rsidR="00000000" w:rsidDel="00000000" w:rsidP="00000000" w:rsidRDefault="00000000" w:rsidRPr="00000000" w14:paraId="00000019">
      <w:pPr>
        <w:widowControl w:val="1"/>
        <w:spacing w:after="160" w:line="259" w:lineRule="auto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841"/>
        <w:rPr>
          <w:b w:val="0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1"/>
        <w:tblW w:w="96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3502"/>
        <w:gridCol w:w="1491"/>
        <w:gridCol w:w="1783"/>
        <w:gridCol w:w="1836"/>
        <w:tblGridChange w:id="0">
          <w:tblGrid>
            <w:gridCol w:w="1021"/>
            <w:gridCol w:w="3502"/>
            <w:gridCol w:w="1491"/>
            <w:gridCol w:w="1783"/>
            <w:gridCol w:w="1836"/>
          </w:tblGrid>
        </w:tblGridChange>
      </w:tblGrid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Exp. No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Experiments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      no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Submission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0" w:right="157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Design Level-0, Level-1, Level-2 DFD for university management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31" w:lineRule="auto"/>
              <w:ind w:left="292" w:right="157" w:hanging="11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right="88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09-08-2023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95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09-08-2023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Lab-1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 Create a use-case diagram for Railway management system.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Level-0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884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Level-1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88400" cy="363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Level-2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884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