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127" w:line="240" w:lineRule="auto"/>
        <w:ind w:right="-35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" w:line="240" w:lineRule="auto"/>
        <w:rPr>
          <w:rFonts w:ascii="Cambria" w:cs="Cambria" w:eastAsia="Cambria" w:hAnsi="Cambri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99" w:line="240" w:lineRule="auto"/>
        <w:ind w:right="804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99" w:line="240" w:lineRule="auto"/>
        <w:ind w:right="804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Engineering (CS 501) Practical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" w:line="240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widowControl w:val="0"/>
        <w:spacing w:before="7"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after="0" w:before="0" w:line="240" w:lineRule="auto"/>
        <w:ind w:left="841" w:right="1206" w:firstLine="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[Ashmit Gupta] (UI21CS12)</w:t>
      </w:r>
    </w:p>
    <w:p w:rsidR="00000000" w:rsidDel="00000000" w:rsidP="00000000" w:rsidRDefault="00000000" w:rsidRPr="00000000" w14:paraId="0000000F">
      <w:pPr>
        <w:widowControl w:val="0"/>
        <w:spacing w:before="7" w:line="240" w:lineRule="auto"/>
        <w:rPr>
          <w:rFonts w:ascii="Cambria" w:cs="Cambria" w:eastAsia="Cambria" w:hAnsi="Cambria"/>
          <w:b w:val="1"/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after="0" w:before="130" w:line="240" w:lineRule="auto"/>
        <w:ind w:left="841" w:right="1207" w:firstLine="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after="0" w:before="130" w:line="240" w:lineRule="auto"/>
        <w:ind w:left="841" w:right="1207" w:firstLine="0"/>
        <w:jc w:val="center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0" w:before="130" w:line="240" w:lineRule="auto"/>
        <w:ind w:left="0" w:right="1207" w:firstLine="0"/>
        <w:jc w:val="left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0" w:before="127" w:line="240" w:lineRule="auto"/>
        <w:ind w:left="841" w:right="1211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after="0" w:before="127" w:line="240" w:lineRule="auto"/>
        <w:ind w:left="841" w:right="1211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0" w:before="127" w:line="240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spacing w:after="0" w:before="127" w:line="240" w:lineRule="auto"/>
        <w:ind w:left="841" w:right="1211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August 2023</w:t>
      </w:r>
    </w:p>
    <w:p w:rsidR="00000000" w:rsidDel="00000000" w:rsidP="00000000" w:rsidRDefault="00000000" w:rsidRPr="00000000" w14:paraId="00000018">
      <w:pPr>
        <w:spacing w:after="160" w:line="259" w:lineRule="auto"/>
        <w:ind w:left="2160" w:firstLine="720"/>
        <w:jc w:val="both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1"/>
        <w:tblW w:w="96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3502"/>
        <w:gridCol w:w="1491"/>
        <w:gridCol w:w="1783"/>
        <w:gridCol w:w="1836"/>
        <w:tblGridChange w:id="0">
          <w:tblGrid>
            <w:gridCol w:w="1021"/>
            <w:gridCol w:w="3502"/>
            <w:gridCol w:w="1491"/>
            <w:gridCol w:w="1783"/>
            <w:gridCol w:w="1836"/>
          </w:tblGrid>
        </w:tblGridChange>
      </w:tblGrid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Exp. No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Name of the Experiments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Page       no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 of Experiment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 of Submission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131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8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9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before="131" w:line="240" w:lineRule="auto"/>
              <w:ind w:right="157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before="131" w:line="240" w:lineRule="auto"/>
              <w:ind w:left="112" w:right="88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before="131" w:line="240" w:lineRule="auto"/>
              <w:ind w:left="122" w:right="95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88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95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Draw use case diagram and DFD (Level -2) for Blood Bank Management 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131" w:line="240" w:lineRule="auto"/>
              <w:ind w:left="112" w:right="88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16-08-2023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131" w:line="240" w:lineRule="auto"/>
              <w:ind w:left="122" w:right="95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16-08-2023</w:t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before="155" w:line="240" w:lineRule="auto"/>
              <w:ind w:left="189" w:right="104" w:hanging="68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before="3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before="131" w:line="240" w:lineRule="auto"/>
              <w:ind w:left="292" w:right="157" w:hanging="11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before="131" w:line="240" w:lineRule="auto"/>
              <w:ind w:left="112" w:right="88" w:firstLine="23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before="131" w:line="240" w:lineRule="auto"/>
              <w:ind w:left="122" w:right="95" w:firstLine="225.00000000000003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360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Lab-4</w:t>
      </w:r>
    </w:p>
    <w:p w:rsidR="00000000" w:rsidDel="00000000" w:rsidP="00000000" w:rsidRDefault="00000000" w:rsidRPr="00000000" w14:paraId="000000A2">
      <w:pPr>
        <w:ind w:left="50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tl w:val="0"/>
        </w:rPr>
        <w:t xml:space="preserve">Draw use case diagram and DFD (Level -2) for Blood Bank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 bank management system (DFD)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6667264" cy="4024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264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 bank management system (Use-case-diagram)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6583976" cy="3824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976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