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All statistical analyses were performed in</w:t>
      </w:r>
      <w:r>
        <w:t xml:space="preserve"> </w:t>
      </w:r>
      <w:r>
        <w:rPr>
          <w:rStyle w:val="VerbatimChar"/>
        </w:rPr>
        <w:t xml:space="preserve">R</w:t>
      </w:r>
      <w:r>
        <w:t xml:space="preserve"> </w:t>
      </w:r>
      <w:r>
        <w:t xml:space="preserve">(version 4.0.4, R Core Team, 2021)</w:t>
      </w:r>
      <w:r>
        <w:t xml:space="preserve">. The</w:t>
      </w:r>
      <w:r>
        <w:t xml:space="preserve"> </w:t>
      </w:r>
      <w:r>
        <w:rPr>
          <w:rStyle w:val="VerbatimChar"/>
        </w:rPr>
        <w:t xml:space="preserve">tidyr</w:t>
      </w:r>
      <w:r>
        <w:t xml:space="preserve"> </w:t>
      </w:r>
      <w:r>
        <w:t xml:space="preserve">and</w:t>
      </w:r>
      <w:r>
        <w:t xml:space="preserve"> </w:t>
      </w:r>
      <w:r>
        <w:rPr>
          <w:rStyle w:val="VerbatimChar"/>
        </w:rPr>
        <w:t xml:space="preserve">dplyr</w:t>
      </w:r>
      <w:r>
        <w:t xml:space="preserve"> </w:t>
      </w:r>
      <w:r>
        <w:t xml:space="preserve">packages</w:t>
      </w:r>
      <w:r>
        <w:t xml:space="preserve"> </w:t>
      </w:r>
      <w:r>
        <w:t xml:space="preserve">Wickham</w:t>
      </w:r>
      <w:r>
        <w:t xml:space="preserve"> </w:t>
      </w:r>
      <w:r>
        <w:rPr>
          <w:i/>
        </w:rPr>
        <w:t xml:space="preserve">et al.</w:t>
      </w:r>
      <w:r>
        <w:t xml:space="preserve"> </w:t>
      </w:r>
      <w:r>
        <w:t xml:space="preserve">(2021)</w:t>
      </w:r>
      <w:r>
        <w:t xml:space="preserve"> </w:t>
      </w:r>
      <w:r>
        <w:t xml:space="preserve">were used for data wrangling, while plots were created using the</w:t>
      </w:r>
      <w:r>
        <w:t xml:space="preserve"> </w:t>
      </w:r>
      <w:r>
        <w:rPr>
          <w:rStyle w:val="VerbatimChar"/>
        </w:rPr>
        <w:t xml:space="preserve">ggplot2</w:t>
      </w:r>
      <w:r>
        <w:t xml:space="preserve"> </w:t>
      </w:r>
      <w:r>
        <w:t xml:space="preserve">and</w:t>
      </w:r>
      <w:r>
        <w:t xml:space="preserve"> </w:t>
      </w:r>
      <w:r>
        <w:rPr>
          <w:rStyle w:val="VerbatimChar"/>
        </w:rPr>
        <w:t xml:space="preserve">cowplot</w:t>
      </w:r>
      <w:r>
        <w:t xml:space="preserve"> </w:t>
      </w:r>
      <w:r>
        <w:t xml:space="preserve">packages</w:t>
      </w:r>
      <w:r>
        <w:t xml:space="preserve"> </w:t>
      </w:r>
      <w:r>
        <w:t xml:space="preserve">Wilke (2020)</w:t>
      </w:r>
      <w:r>
        <w:t xml:space="preserve">. The code is available on GitHub at</w:t>
      </w:r>
      <w:r>
        <w:t xml:space="preserve"> </w:t>
      </w:r>
      <w:hyperlink r:id="rId20">
        <w:r>
          <w:rPr>
            <w:rStyle w:val="Hyperlink"/>
          </w:rPr>
          <w:t xml:space="preserve">https://github.com/simpson-lab/kenosee-white-bear</w:t>
        </w:r>
      </w:hyperlink>
      <w:r>
        <w:t xml:space="preserve">.</w:t>
      </w:r>
    </w:p>
    <w:p>
      <w:pPr>
        <w:pStyle w:val="BodyText"/>
      </w:pPr>
      <w:r>
        <w:t xml:space="preserve">Sediment age-depth relationships were estimated using shape-constrained additive models (SCAMs) with monotone decreasing P-splines via the</w:t>
      </w:r>
      <w:r>
        <w:t xml:space="preserve"> </w:t>
      </w:r>
      <w:r>
        <w:rPr>
          <w:rStyle w:val="VerbatimChar"/>
        </w:rPr>
        <w:t xml:space="preserve">scam</w:t>
      </w:r>
      <w:r>
        <w:t xml:space="preserve"> </w:t>
      </w:r>
      <w:r>
        <w:t xml:space="preserve">package</w:t>
      </w:r>
      <w:r>
        <w:t xml:space="preserve"> </w:t>
      </w:r>
      <w:r>
        <w:t xml:space="preserve">(Pya, 2021)</w:t>
      </w:r>
      <w:r>
        <w:t xml:space="preserve"> </w:t>
      </w:r>
      <w:r>
        <w:t xml:space="preserve">with generalized cross-validation (GCV) smoothness parameter selection. Trends in pigment and other geochemical proxies were estimated using generalized additive models (GAMs) using the</w:t>
      </w:r>
      <w:r>
        <w:t xml:space="preserve"> </w:t>
      </w:r>
      <w:r>
        <w:rPr>
          <w:rStyle w:val="VerbatimChar"/>
        </w:rPr>
        <w:t xml:space="preserve">mgcv</w:t>
      </w:r>
      <w:r>
        <w:t xml:space="preserve"> </w:t>
      </w:r>
      <w:r>
        <w:t xml:space="preserve">package</w:t>
      </w:r>
      <w:r>
        <w:t xml:space="preserve"> </w:t>
      </w:r>
      <w:r>
        <w:t xml:space="preserve">(Wood, 2011, 2017; Simpson, 2018)</w:t>
      </w:r>
      <w:r>
        <w:t xml:space="preserve">. Specifically, pigment concentrations were estimated using a hierarchical generalized additive model</w:t>
      </w:r>
      <w:r>
        <w:t xml:space="preserve"> </w:t>
      </w:r>
      <w:r>
        <w:t xml:space="preserve">(HGAM; see Pedersen</w:t>
      </w:r>
      <w:r>
        <w:t xml:space="preserve"> </w:t>
      </w:r>
      <w:r>
        <w:rPr>
          <w:i/>
        </w:rPr>
        <w:t xml:space="preserve">et al.</w:t>
      </w:r>
      <w:r>
        <w:t xml:space="preserve">, 2019)</w:t>
      </w:r>
      <w:r>
        <w:t xml:space="preserve">. The HGAM used a Gamma location-scale family which allowed to estimate the trends in the concentrations’ mean and variance</w:t>
      </w:r>
      <w:r>
        <w:t xml:space="preserve"> </w:t>
      </w:r>
      <w:r>
        <w:t xml:space="preserve">(Wood</w:t>
      </w:r>
      <w:r>
        <w:t xml:space="preserve"> </w:t>
      </w:r>
      <w:r>
        <w:rPr>
          <w:i/>
        </w:rPr>
        <w:t xml:space="preserve">et al.</w:t>
      </w:r>
      <w:r>
        <w:t xml:space="preserve">, 2016)</w:t>
      </w:r>
      <w:r>
        <w:t xml:space="preserve">. The mean concentration was modelled using a global smooth of year and a factor smooth for each combination of the 2 lakes and 10 pigments, for a total of 20 factors (model</w:t>
      </w:r>
      <w:r>
        <w:t xml:space="preserve"> </w:t>
      </w:r>
      <w:r>
        <w:rPr>
          <w:i/>
        </w:rPr>
        <w:t xml:space="preserve">GS</w:t>
      </w:r>
      <w:r>
        <w:t xml:space="preserve"> </w:t>
      </w:r>
      <w:r>
        <w:t xml:space="preserve">sensu</w:t>
      </w:r>
      <w:r>
        <w:t xml:space="preserve"> </w:t>
      </w:r>
      <w:r>
        <w:t xml:space="preserve">Pedersen</w:t>
      </w:r>
      <w:r>
        <w:t xml:space="preserve"> </w:t>
      </w:r>
      <w:r>
        <w:rPr>
          <w:i/>
        </w:rPr>
        <w:t xml:space="preserve">et al.</w:t>
      </w:r>
      <w:r>
        <w:t xml:space="preserve"> </w:t>
      </w:r>
      <w:r>
        <w:t xml:space="preserve">(2019)</w:t>
      </w:r>
      <w:r>
        <w:t xml:space="preserve">). The shape term of the distribution was modelled using the same terms as above with the addition of a smooth of each slice’s log-transformed interval. This last term accounted for the differences in information between slices, since slices which averaged more years were expected to be less variable (i.e. more stable). Observations were weighted by the (standardized) interval of the sample. The smoothness parameter of the model was estimated using restricted maximum likelihood (</w:t>
      </w:r>
      <w:r>
        <w:rPr>
          <w:i/>
        </w:rPr>
        <w:t xml:space="preserve">REML</w:t>
      </w:r>
      <w:r>
        <w:t xml:space="preserve">, see</w:t>
      </w:r>
      <w:r>
        <w:t xml:space="preserve"> </w:t>
      </w:r>
      <w:r>
        <w:t xml:space="preserve">Simpson (2018)</w:t>
      </w:r>
      <w:r>
        <w:t xml:space="preserve">). The variance was then estimated by calculating the product of the mean and shape parameter estimates. Uncertainty around the variance estimate was calculated using 95% Bayesian credible intervals which were obtained by running 10,000 simulations and taking the 0.025% and 97.5% quantiles of the posterior distribution.</w:t>
      </w:r>
    </w:p>
    <w:p>
      <w:pPr>
        <w:pStyle w:val="BodyText"/>
      </w:pPr>
      <w:r>
        <w:t xml:space="preserve">The chlorophyll:pheophytin ratio and diatom-inferred UV indexes were modelled using HGAMs with a Gamma and Tweedie family, respectively. The Tweedie response distribution was used for the UV index because of the presence of zeros, which are not supported by the Gamma distribution (i.e. the Gamma distribution is for strictly positive numbers). Both models used a smooth of year by lake, such that each lake had a different smoothness parameter (model</w:t>
      </w:r>
      <w:r>
        <w:t xml:space="preserve"> </w:t>
      </w:r>
      <w:r>
        <w:rPr>
          <w:i/>
        </w:rPr>
        <w:t xml:space="preserve">I</w:t>
      </w:r>
      <w:r>
        <w:t xml:space="preserve"> </w:t>
      </w:r>
      <w:r>
        <w:t xml:space="preserve">sensu</w:t>
      </w:r>
      <w:r>
        <w:t xml:space="preserve"> </w:t>
      </w:r>
      <w:r>
        <w:t xml:space="preserve">Pedersen</w:t>
      </w:r>
      <w:r>
        <w:t xml:space="preserve"> </w:t>
      </w:r>
      <w:r>
        <w:rPr>
          <w:i/>
        </w:rPr>
        <w:t xml:space="preserve">et al.</w:t>
      </w:r>
      <w:r>
        <w:t xml:space="preserve"> </w:t>
      </w:r>
      <w:r>
        <w:t xml:space="preserve">(2019)</w:t>
      </w:r>
      <w:r>
        <w:t xml:space="preserve">). As with the pigment models, these two models also used REML and observations were weighted by the (standardized) interval of the sample.</w:t>
      </w:r>
    </w:p>
    <w:p>
      <w:pPr>
        <w:pStyle w:val="BodyText"/>
      </w:pPr>
      <w:r>
        <w:t xml:space="preserve">To identify periods of significant change, the first derivative of the estimated smooth trend was evaluated for each proxy from the relevant model</w:t>
      </w:r>
      <w:r>
        <w:t xml:space="preserve"> </w:t>
      </w:r>
      <w:r>
        <w:t xml:space="preserve">(Bennion, Simpson &amp; Goldsmith, 2015; Simpson, 2018)</w:t>
      </w:r>
      <w:r>
        <w:t xml:space="preserve">. The first derivative was estimated using functions built with the</w:t>
      </w:r>
      <w:r>
        <w:t xml:space="preserve"> </w:t>
      </w:r>
      <w:r>
        <w:rPr>
          <w:rStyle w:val="VerbatimChar"/>
        </w:rPr>
        <w:t xml:space="preserve">gratia</w:t>
      </w:r>
      <w:r>
        <w:t xml:space="preserve"> </w:t>
      </w:r>
      <w:r>
        <w:t xml:space="preserve">package</w:t>
      </w:r>
      <w:r>
        <w:t xml:space="preserve"> </w:t>
      </w:r>
      <w:r>
        <w:t xml:space="preserve">(Simpson, 2021)</w:t>
      </w:r>
      <w:r>
        <w:t xml:space="preserve">. Periods of significant change were identified as periods where the credible interval of the estimated derivative excluded 0 at the</w:t>
      </w:r>
      <w:r>
        <w:t xml:space="preserve"> </w:t>
      </w:r>
      <m:oMath>
        <m:r>
          <m:t>α</m:t>
        </m:r>
        <m:r>
          <m:t>=</m:t>
        </m:r>
        <m:r>
          <m:t>0.05</m:t>
        </m:r>
      </m:oMath>
      <w:r>
        <w:t xml:space="preserve"> </w:t>
      </w:r>
      <w:r>
        <w:t xml:space="preserve">level of significance.</w:t>
      </w:r>
    </w:p>
    <w:p>
      <w:pPr>
        <w:pStyle w:val="BodyText"/>
      </w:pPr>
      <w:r>
        <w:rPr>
          <w:i/>
          <w:b/>
        </w:rPr>
        <w:t xml:space="preserve">ask Gavin to add some text regarding derivatives</w:t>
      </w:r>
      <w:r>
        <w:t xml:space="preserve"> </w:t>
      </w:r>
      <m:oMath>
        <m:r>
          <m:t>↑</m:t>
        </m:r>
      </m:oMath>
    </w:p>
    <w:bookmarkStart w:id="38" w:name="references"/>
    <w:p>
      <w:pPr>
        <w:pStyle w:val="Heading1"/>
      </w:pPr>
      <w:r>
        <w:t xml:space="preserve">References</w:t>
      </w:r>
    </w:p>
    <w:bookmarkStart w:id="37" w:name="refs"/>
    <w:bookmarkStart w:id="22" w:name="ref-bennion_assessing_2015"/>
    <w:p>
      <w:pPr>
        <w:pStyle w:val="Bibliography"/>
      </w:pPr>
      <w:r>
        <w:t xml:space="preserve">Bennion H., Simpson G.L. &amp; Goldsmith B.J. (2015). Assessing degradation and recovery pathways in lakes impacted by eutrophication using the sediment record.</w:t>
      </w:r>
      <w:r>
        <w:t xml:space="preserve"> </w:t>
      </w:r>
      <w:r>
        <w:rPr>
          <w:i/>
        </w:rPr>
        <w:t xml:space="preserve">Frontiers in Ecology and Evolution</w:t>
      </w:r>
      <w:r>
        <w:t xml:space="preserve"> </w:t>
      </w:r>
      <w:r>
        <w:rPr>
          <w:b/>
        </w:rPr>
        <w:t xml:space="preserve">3</w:t>
      </w:r>
      <w:r>
        <w:t xml:space="preserve">.</w:t>
      </w:r>
      <w:r>
        <w:t xml:space="preserve"> </w:t>
      </w:r>
      <w:hyperlink r:id="rId21">
        <w:r>
          <w:rPr>
            <w:rStyle w:val="Hyperlink"/>
          </w:rPr>
          <w:t xml:space="preserve">https://doi.org/10.3389/fevo.2015.00094</w:t>
        </w:r>
      </w:hyperlink>
    </w:p>
    <w:bookmarkEnd w:id="22"/>
    <w:bookmarkStart w:id="24" w:name="ref-pedersen_hierarchical_2019"/>
    <w:p>
      <w:pPr>
        <w:pStyle w:val="Bibliography"/>
      </w:pPr>
      <w:r>
        <w:t xml:space="preserve">Pedersen E.J., Miller D.L., Simpson G.L. &amp; Ross N. (2019). Hierarchical generalized additive models in ecology: An introduction with mgcv.</w:t>
      </w:r>
      <w:r>
        <w:t xml:space="preserve"> </w:t>
      </w:r>
      <w:r>
        <w:rPr>
          <w:i/>
        </w:rPr>
        <w:t xml:space="preserve">PeerJ</w:t>
      </w:r>
      <w:r>
        <w:t xml:space="preserve"> </w:t>
      </w:r>
      <w:r>
        <w:rPr>
          <w:b/>
        </w:rPr>
        <w:t xml:space="preserve">7</w:t>
      </w:r>
      <w:r>
        <w:t xml:space="preserve">, e6876.</w:t>
      </w:r>
      <w:r>
        <w:t xml:space="preserve"> </w:t>
      </w:r>
      <w:hyperlink r:id="rId23">
        <w:r>
          <w:rPr>
            <w:rStyle w:val="Hyperlink"/>
          </w:rPr>
          <w:t xml:space="preserve">https://doi.org/10.7717/peerj.6876</w:t>
        </w:r>
      </w:hyperlink>
    </w:p>
    <w:bookmarkEnd w:id="24"/>
    <w:bookmarkStart w:id="25" w:name="ref-pya_scam_2021"/>
    <w:p>
      <w:pPr>
        <w:pStyle w:val="Bibliography"/>
      </w:pPr>
      <w:r>
        <w:t xml:space="preserve">Pya N. (2021).</w:t>
      </w:r>
      <w:r>
        <w:t xml:space="preserve"> </w:t>
      </w:r>
      <w:r>
        <w:rPr>
          <w:i/>
        </w:rPr>
        <w:t xml:space="preserve">Scam:</w:t>
      </w:r>
      <w:r>
        <w:rPr>
          <w:i/>
        </w:rPr>
        <w:t xml:space="preserve"> </w:t>
      </w:r>
      <w:r>
        <w:rPr>
          <w:i/>
        </w:rPr>
        <w:t xml:space="preserve">Shape</w:t>
      </w:r>
      <w:r>
        <w:rPr>
          <w:i/>
        </w:rPr>
        <w:t xml:space="preserve"> </w:t>
      </w:r>
      <w:r>
        <w:rPr>
          <w:i/>
        </w:rPr>
        <w:t xml:space="preserve">Constrained</w:t>
      </w:r>
      <w:r>
        <w:rPr>
          <w:i/>
        </w:rPr>
        <w:t xml:space="preserve"> </w:t>
      </w:r>
      <w:r>
        <w:rPr>
          <w:i/>
        </w:rPr>
        <w:t xml:space="preserve">Additive</w:t>
      </w:r>
      <w:r>
        <w:rPr>
          <w:i/>
        </w:rPr>
        <w:t xml:space="preserve"> </w:t>
      </w:r>
      <w:r>
        <w:rPr>
          <w:i/>
        </w:rPr>
        <w:t xml:space="preserve">Models</w:t>
      </w:r>
      <w:r>
        <w:t xml:space="preserve">.</w:t>
      </w:r>
    </w:p>
    <w:bookmarkEnd w:id="25"/>
    <w:bookmarkStart w:id="26" w:name="ref-r_core_team_r_2021"/>
    <w:p>
      <w:pPr>
        <w:pStyle w:val="Bibliography"/>
      </w:pPr>
      <w:r>
        <w:t xml:space="preserve">R Core Team (2021).</w:t>
      </w:r>
      <w:r>
        <w:t xml:space="preserve"> </w:t>
      </w:r>
      <w:r>
        <w:rPr>
          <w:i/>
        </w:rPr>
        <w:t xml:space="preserve">R:</w:t>
      </w:r>
      <w:r>
        <w:rPr>
          <w:i/>
        </w:rPr>
        <w:t xml:space="preserve"> </w:t>
      </w:r>
      <w:r>
        <w:rPr>
          <w:i/>
        </w:rPr>
        <w:t xml:space="preserve">A</w:t>
      </w:r>
      <w:r>
        <w:rPr>
          <w:i/>
        </w:rPr>
        <w:t xml:space="preserve"> </w:t>
      </w:r>
      <w:r>
        <w:rPr>
          <w:i/>
        </w:rPr>
        <w:t xml:space="preserve">Language</w:t>
      </w:r>
      <w:r>
        <w:rPr>
          <w:i/>
        </w:rPr>
        <w:t xml:space="preserve"> </w:t>
      </w:r>
      <w:r>
        <w:rPr>
          <w:i/>
        </w:rPr>
        <w:t xml:space="preserve">and</w:t>
      </w:r>
      <w:r>
        <w:rPr>
          <w:i/>
        </w:rPr>
        <w:t xml:space="preserve"> </w:t>
      </w:r>
      <w:r>
        <w:rPr>
          <w:i/>
        </w:rPr>
        <w:t xml:space="preserve">Environment</w:t>
      </w:r>
      <w:r>
        <w:rPr>
          <w:i/>
        </w:rPr>
        <w:t xml:space="preserve"> </w:t>
      </w:r>
      <w:r>
        <w:rPr>
          <w:i/>
        </w:rPr>
        <w:t xml:space="preserve">for</w:t>
      </w:r>
      <w:r>
        <w:rPr>
          <w:i/>
        </w:rPr>
        <w:t xml:space="preserve"> </w:t>
      </w:r>
      <w:r>
        <w:rPr>
          <w:i/>
        </w:rPr>
        <w:t xml:space="preserve">Statistical</w:t>
      </w:r>
      <w:r>
        <w:rPr>
          <w:i/>
        </w:rPr>
        <w:t xml:space="preserve"> </w:t>
      </w:r>
      <w:r>
        <w:rPr>
          <w:i/>
        </w:rPr>
        <w:t xml:space="preserve">Computing</w:t>
      </w:r>
      <w:r>
        <w:t xml:space="preserve">. R Foundation for Statistical Computing, Vienna, Austria.</w:t>
      </w:r>
    </w:p>
    <w:bookmarkEnd w:id="26"/>
    <w:bookmarkStart w:id="27" w:name="ref-simpson_gratia_2021"/>
    <w:p>
      <w:pPr>
        <w:pStyle w:val="Bibliography"/>
      </w:pPr>
      <w:r>
        <w:t xml:space="preserve">Simpson G.L. (2021).</w:t>
      </w:r>
      <w:r>
        <w:t xml:space="preserve"> </w:t>
      </w:r>
      <w:r>
        <w:rPr>
          <w:i/>
        </w:rPr>
        <w:t xml:space="preserve">Gratia:</w:t>
      </w:r>
      <w:r>
        <w:rPr>
          <w:i/>
        </w:rPr>
        <w:t xml:space="preserve"> </w:t>
      </w:r>
      <w:r>
        <w:rPr>
          <w:i/>
        </w:rPr>
        <w:t xml:space="preserve">Graceful</w:t>
      </w:r>
      <w:r>
        <w:rPr>
          <w:i/>
        </w:rPr>
        <w:t xml:space="preserve"> </w:t>
      </w:r>
      <w:r>
        <w:rPr>
          <w:i/>
        </w:rPr>
        <w:t xml:space="preserve">’ggplot’-</w:t>
      </w:r>
      <w:r>
        <w:rPr>
          <w:i/>
        </w:rPr>
        <w:t xml:space="preserve">Based</w:t>
      </w:r>
      <w:r>
        <w:rPr>
          <w:i/>
        </w:rPr>
        <w:t xml:space="preserve"> </w:t>
      </w:r>
      <w:r>
        <w:rPr>
          <w:i/>
        </w:rPr>
        <w:t xml:space="preserve">Graphics</w:t>
      </w:r>
      <w:r>
        <w:rPr>
          <w:i/>
        </w:rPr>
        <w:t xml:space="preserve"> </w:t>
      </w:r>
      <w:r>
        <w:rPr>
          <w:i/>
        </w:rPr>
        <w:t xml:space="preserve">and</w:t>
      </w:r>
      <w:r>
        <w:rPr>
          <w:i/>
        </w:rPr>
        <w:t xml:space="preserve"> </w:t>
      </w:r>
      <w:r>
        <w:rPr>
          <w:i/>
        </w:rPr>
        <w:t xml:space="preserve">Other</w:t>
      </w:r>
      <w:r>
        <w:rPr>
          <w:i/>
        </w:rPr>
        <w:t xml:space="preserve"> </w:t>
      </w:r>
      <w:r>
        <w:rPr>
          <w:i/>
        </w:rPr>
        <w:t xml:space="preserve">Functions</w:t>
      </w:r>
      <w:r>
        <w:rPr>
          <w:i/>
        </w:rPr>
        <w:t xml:space="preserve"> </w:t>
      </w:r>
      <w:r>
        <w:rPr>
          <w:i/>
        </w:rPr>
        <w:t xml:space="preserve">for</w:t>
      </w:r>
      <w:r>
        <w:rPr>
          <w:i/>
        </w:rPr>
        <w:t xml:space="preserve"> </w:t>
      </w:r>
      <w:r>
        <w:rPr>
          <w:i/>
        </w:rPr>
        <w:t xml:space="preserve">GAMs</w:t>
      </w:r>
      <w:r>
        <w:rPr>
          <w:i/>
        </w:rPr>
        <w:t xml:space="preserve"> </w:t>
      </w:r>
      <w:r>
        <w:rPr>
          <w:i/>
        </w:rPr>
        <w:t xml:space="preserve">Fitted</w:t>
      </w:r>
      <w:r>
        <w:rPr>
          <w:i/>
        </w:rPr>
        <w:t xml:space="preserve"> </w:t>
      </w:r>
      <w:r>
        <w:rPr>
          <w:i/>
        </w:rPr>
        <w:t xml:space="preserve">Using</w:t>
      </w:r>
      <w:r>
        <w:rPr>
          <w:i/>
        </w:rPr>
        <w:t xml:space="preserve"> </w:t>
      </w:r>
      <w:r>
        <w:rPr>
          <w:i/>
        </w:rPr>
        <w:t xml:space="preserve">’mgcv’</w:t>
      </w:r>
      <w:r>
        <w:t xml:space="preserve">.</w:t>
      </w:r>
    </w:p>
    <w:bookmarkEnd w:id="27"/>
    <w:bookmarkStart w:id="29" w:name="ref-simpson_modelling_2018"/>
    <w:p>
      <w:pPr>
        <w:pStyle w:val="Bibliography"/>
      </w:pPr>
      <w:r>
        <w:t xml:space="preserve">Simpson G.L. (2018). Modelling</w:t>
      </w:r>
      <w:r>
        <w:t xml:space="preserve"> </w:t>
      </w:r>
      <w:r>
        <w:t xml:space="preserve">Palaeoecological</w:t>
      </w:r>
      <w:r>
        <w:t xml:space="preserve"> </w:t>
      </w:r>
      <w:r>
        <w:t xml:space="preserve">Time</w:t>
      </w:r>
      <w:r>
        <w:t xml:space="preserve"> </w:t>
      </w:r>
      <w:r>
        <w:t xml:space="preserve">Series</w:t>
      </w:r>
      <w:r>
        <w:t xml:space="preserve"> </w:t>
      </w:r>
      <w:r>
        <w:t xml:space="preserve">Using</w:t>
      </w:r>
      <w:r>
        <w:t xml:space="preserve"> </w:t>
      </w:r>
      <w:r>
        <w:t xml:space="preserve">Generalised</w:t>
      </w:r>
      <w:r>
        <w:t xml:space="preserve"> </w:t>
      </w:r>
      <w:r>
        <w:t xml:space="preserve">Additive</w:t>
      </w:r>
      <w:r>
        <w:t xml:space="preserve"> </w:t>
      </w:r>
      <w:r>
        <w:t xml:space="preserve">Models</w:t>
      </w:r>
      <w:r>
        <w:t xml:space="preserve">.</w:t>
      </w:r>
      <w:r>
        <w:t xml:space="preserve"> </w:t>
      </w:r>
      <w:r>
        <w:rPr>
          <w:i/>
        </w:rPr>
        <w:t xml:space="preserve">Frontiers in Ecology and Evolution</w:t>
      </w:r>
      <w:r>
        <w:t xml:space="preserve"> </w:t>
      </w:r>
      <w:r>
        <w:rPr>
          <w:b/>
        </w:rPr>
        <w:t xml:space="preserve">6</w:t>
      </w:r>
      <w:r>
        <w:t xml:space="preserve">, 149.</w:t>
      </w:r>
      <w:r>
        <w:t xml:space="preserve"> </w:t>
      </w:r>
      <w:hyperlink r:id="rId28">
        <w:r>
          <w:rPr>
            <w:rStyle w:val="Hyperlink"/>
          </w:rPr>
          <w:t xml:space="preserve">https://doi.org/10.3389/fevo.2018.00149</w:t>
        </w:r>
      </w:hyperlink>
    </w:p>
    <w:bookmarkEnd w:id="29"/>
    <w:bookmarkStart w:id="30" w:name="ref-wickham_ggplot2_2016"/>
    <w:p>
      <w:pPr>
        <w:pStyle w:val="Bibliography"/>
      </w:pPr>
      <w:r>
        <w:t xml:space="preserve">Wickham H. (2016).</w:t>
      </w:r>
      <w:r>
        <w:t xml:space="preserve"> </w:t>
      </w:r>
      <w:r>
        <w:rPr>
          <w:i/>
        </w:rPr>
        <w:t xml:space="preserve">ggplot2:</w:t>
      </w:r>
      <w:r>
        <w:rPr>
          <w:i/>
        </w:rPr>
        <w:t xml:space="preserve"> </w:t>
      </w:r>
      <w:r>
        <w:rPr>
          <w:i/>
        </w:rPr>
        <w:t xml:space="preserve">Elegant</w:t>
      </w:r>
      <w:r>
        <w:rPr>
          <w:i/>
        </w:rPr>
        <w:t xml:space="preserve"> </w:t>
      </w:r>
      <w:r>
        <w:rPr>
          <w:i/>
        </w:rPr>
        <w:t xml:space="preserve">Graphics</w:t>
      </w:r>
      <w:r>
        <w:rPr>
          <w:i/>
        </w:rPr>
        <w:t xml:space="preserve"> </w:t>
      </w:r>
      <w:r>
        <w:rPr>
          <w:i/>
        </w:rPr>
        <w:t xml:space="preserve">for</w:t>
      </w:r>
      <w:r>
        <w:rPr>
          <w:i/>
        </w:rPr>
        <w:t xml:space="preserve"> </w:t>
      </w:r>
      <w:r>
        <w:rPr>
          <w:i/>
        </w:rPr>
        <w:t xml:space="preserve">Data</w:t>
      </w:r>
      <w:r>
        <w:rPr>
          <w:i/>
        </w:rPr>
        <w:t xml:space="preserve"> </w:t>
      </w:r>
      <w:r>
        <w:rPr>
          <w:i/>
        </w:rPr>
        <w:t xml:space="preserve">Analysis</w:t>
      </w:r>
      <w:r>
        <w:t xml:space="preserve">. Springer-Verlag New York.</w:t>
      </w:r>
    </w:p>
    <w:bookmarkEnd w:id="30"/>
    <w:bookmarkStart w:id="31" w:name="ref-wickham_tidyr_2021"/>
    <w:p>
      <w:pPr>
        <w:pStyle w:val="Bibliography"/>
      </w:pPr>
      <w:r>
        <w:t xml:space="preserve">Wickham H. (2021).</w:t>
      </w:r>
      <w:r>
        <w:t xml:space="preserve"> </w:t>
      </w:r>
      <w:r>
        <w:rPr>
          <w:i/>
        </w:rPr>
        <w:t xml:space="preserve">Tidyr:</w:t>
      </w:r>
      <w:r>
        <w:rPr>
          <w:i/>
        </w:rPr>
        <w:t xml:space="preserve"> </w:t>
      </w:r>
      <w:r>
        <w:rPr>
          <w:i/>
        </w:rPr>
        <w:t xml:space="preserve">Tidy</w:t>
      </w:r>
      <w:r>
        <w:rPr>
          <w:i/>
        </w:rPr>
        <w:t xml:space="preserve"> </w:t>
      </w:r>
      <w:r>
        <w:rPr>
          <w:i/>
        </w:rPr>
        <w:t xml:space="preserve">Messy</w:t>
      </w:r>
      <w:r>
        <w:rPr>
          <w:i/>
        </w:rPr>
        <w:t xml:space="preserve"> </w:t>
      </w:r>
      <w:r>
        <w:rPr>
          <w:i/>
        </w:rPr>
        <w:t xml:space="preserve">Data</w:t>
      </w:r>
      <w:r>
        <w:t xml:space="preserve">.</w:t>
      </w:r>
    </w:p>
    <w:bookmarkEnd w:id="31"/>
    <w:bookmarkStart w:id="32" w:name="ref-wickham_dplyr_2021"/>
    <w:p>
      <w:pPr>
        <w:pStyle w:val="Bibliography"/>
      </w:pPr>
      <w:r>
        <w:t xml:space="preserve">Wickham H., François R., Henry L. &amp; Müller K. (2021).</w:t>
      </w:r>
      <w:r>
        <w:t xml:space="preserve"> </w:t>
      </w:r>
      <w:r>
        <w:rPr>
          <w:i/>
        </w:rPr>
        <w:t xml:space="preserve">Dplyr:</w:t>
      </w:r>
      <w:r>
        <w:rPr>
          <w:i/>
        </w:rPr>
        <w:t xml:space="preserve"> </w:t>
      </w:r>
      <w:r>
        <w:rPr>
          <w:i/>
        </w:rPr>
        <w:t xml:space="preserve">A</w:t>
      </w:r>
      <w:r>
        <w:rPr>
          <w:i/>
        </w:rPr>
        <w:t xml:space="preserve"> </w:t>
      </w:r>
      <w:r>
        <w:rPr>
          <w:i/>
        </w:rPr>
        <w:t xml:space="preserve">Grammar</w:t>
      </w:r>
      <w:r>
        <w:rPr>
          <w:i/>
        </w:rPr>
        <w:t xml:space="preserve"> </w:t>
      </w:r>
      <w:r>
        <w:rPr>
          <w:i/>
        </w:rPr>
        <w:t xml:space="preserve">of</w:t>
      </w:r>
      <w:r>
        <w:rPr>
          <w:i/>
        </w:rPr>
        <w:t xml:space="preserve"> </w:t>
      </w:r>
      <w:r>
        <w:rPr>
          <w:i/>
        </w:rPr>
        <w:t xml:space="preserve">Data</w:t>
      </w:r>
      <w:r>
        <w:rPr>
          <w:i/>
        </w:rPr>
        <w:t xml:space="preserve"> </w:t>
      </w:r>
      <w:r>
        <w:rPr>
          <w:i/>
        </w:rPr>
        <w:t xml:space="preserve">Manipulation</w:t>
      </w:r>
      <w:r>
        <w:t xml:space="preserve">.</w:t>
      </w:r>
    </w:p>
    <w:bookmarkEnd w:id="32"/>
    <w:bookmarkStart w:id="33" w:name="ref-wilke_cowplot_2020"/>
    <w:p>
      <w:pPr>
        <w:pStyle w:val="Bibliography"/>
      </w:pPr>
      <w:r>
        <w:t xml:space="preserve">Wilke C.O. (2020).</w:t>
      </w:r>
      <w:r>
        <w:t xml:space="preserve"> </w:t>
      </w:r>
      <w:r>
        <w:rPr>
          <w:i/>
        </w:rPr>
        <w:t xml:space="preserve">Cowplot:</w:t>
      </w:r>
      <w:r>
        <w:rPr>
          <w:i/>
        </w:rPr>
        <w:t xml:space="preserve"> </w:t>
      </w:r>
      <w:r>
        <w:rPr>
          <w:i/>
        </w:rPr>
        <w:t xml:space="preserve">Streamlined</w:t>
      </w:r>
      <w:r>
        <w:rPr>
          <w:i/>
        </w:rPr>
        <w:t xml:space="preserve"> </w:t>
      </w:r>
      <w:r>
        <w:rPr>
          <w:i/>
        </w:rPr>
        <w:t xml:space="preserve">Plot</w:t>
      </w:r>
      <w:r>
        <w:rPr>
          <w:i/>
        </w:rPr>
        <w:t xml:space="preserve"> </w:t>
      </w:r>
      <w:r>
        <w:rPr>
          <w:i/>
        </w:rPr>
        <w:t xml:space="preserve">Theme</w:t>
      </w:r>
      <w:r>
        <w:rPr>
          <w:i/>
        </w:rPr>
        <w:t xml:space="preserve"> </w:t>
      </w:r>
      <w:r>
        <w:rPr>
          <w:i/>
        </w:rPr>
        <w:t xml:space="preserve">and</w:t>
      </w:r>
      <w:r>
        <w:rPr>
          <w:i/>
        </w:rPr>
        <w:t xml:space="preserve"> </w:t>
      </w:r>
      <w:r>
        <w:rPr>
          <w:i/>
        </w:rPr>
        <w:t xml:space="preserve">Plot</w:t>
      </w:r>
      <w:r>
        <w:rPr>
          <w:i/>
        </w:rPr>
        <w:t xml:space="preserve"> </w:t>
      </w:r>
      <w:r>
        <w:rPr>
          <w:i/>
        </w:rPr>
        <w:t xml:space="preserve">Annotations</w:t>
      </w:r>
      <w:r>
        <w:rPr>
          <w:i/>
        </w:rPr>
        <w:t xml:space="preserve"> </w:t>
      </w:r>
      <w:r>
        <w:rPr>
          <w:i/>
        </w:rPr>
        <w:t xml:space="preserve">for ’ggplot2’</w:t>
      </w:r>
      <w:r>
        <w:t xml:space="preserve">.</w:t>
      </w:r>
    </w:p>
    <w:bookmarkEnd w:id="33"/>
    <w:bookmarkStart w:id="34" w:name="ref-wood_fast_2011"/>
    <w:p>
      <w:pPr>
        <w:pStyle w:val="Bibliography"/>
      </w:pPr>
      <w:r>
        <w:t xml:space="preserve">Wood S.N. (2011). Fast stable restricted maximum likelihood and marginal likelihood estimation of semiparametric generalized linear models.</w:t>
      </w:r>
      <w:r>
        <w:t xml:space="preserve"> </w:t>
      </w:r>
      <w:r>
        <w:rPr>
          <w:i/>
        </w:rPr>
        <w:t xml:space="preserve">Journal of the Royal Statistical Society (B)</w:t>
      </w:r>
      <w:r>
        <w:t xml:space="preserve"> </w:t>
      </w:r>
      <w:r>
        <w:rPr>
          <w:b/>
        </w:rPr>
        <w:t xml:space="preserve">73</w:t>
      </w:r>
      <w:r>
        <w:t xml:space="preserve">, 3–36</w:t>
      </w:r>
    </w:p>
    <w:bookmarkEnd w:id="34"/>
    <w:bookmarkStart w:id="35" w:name="ref-wood_generalized_2017"/>
    <w:p>
      <w:pPr>
        <w:pStyle w:val="Bibliography"/>
      </w:pPr>
      <w:r>
        <w:t xml:space="preserve">Wood S.N. (2017).</w:t>
      </w:r>
      <w:r>
        <w:t xml:space="preserve"> </w:t>
      </w:r>
      <w:r>
        <w:rPr>
          <w:i/>
        </w:rPr>
        <w:t xml:space="preserve">Generalized</w:t>
      </w:r>
      <w:r>
        <w:rPr>
          <w:i/>
        </w:rPr>
        <w:t xml:space="preserve"> </w:t>
      </w:r>
      <w:r>
        <w:rPr>
          <w:i/>
        </w:rPr>
        <w:t xml:space="preserve">Additive</w:t>
      </w:r>
      <w:r>
        <w:rPr>
          <w:i/>
        </w:rPr>
        <w:t xml:space="preserve"> </w:t>
      </w:r>
      <w:r>
        <w:rPr>
          <w:i/>
        </w:rPr>
        <w:t xml:space="preserve">Models</w:t>
      </w:r>
      <w:r>
        <w:rPr>
          <w:i/>
        </w:rPr>
        <w:t xml:space="preserve">:</w:t>
      </w:r>
      <w:r>
        <w:rPr>
          <w:i/>
        </w:rPr>
        <w:t xml:space="preserve"> </w:t>
      </w:r>
      <w:r>
        <w:rPr>
          <w:i/>
        </w:rPr>
        <w:t xml:space="preserve">An</w:t>
      </w:r>
      <w:r>
        <w:rPr>
          <w:i/>
        </w:rPr>
        <w:t xml:space="preserve"> </w:t>
      </w:r>
      <w:r>
        <w:rPr>
          <w:i/>
        </w:rPr>
        <w:t xml:space="preserve">Introduction</w:t>
      </w:r>
      <w:r>
        <w:rPr>
          <w:i/>
        </w:rPr>
        <w:t xml:space="preserve"> </w:t>
      </w:r>
      <w:r>
        <w:rPr>
          <w:i/>
        </w:rPr>
        <w:t xml:space="preserve">with</w:t>
      </w:r>
      <w:r>
        <w:rPr>
          <w:i/>
        </w:rPr>
        <w:t xml:space="preserve"> </w:t>
      </w:r>
      <w:r>
        <w:rPr>
          <w:i/>
        </w:rPr>
        <w:t xml:space="preserve">R</w:t>
      </w:r>
      <w:r>
        <w:t xml:space="preserve">, 2nd edn. Chapman; Hall/CRC.</w:t>
      </w:r>
    </w:p>
    <w:bookmarkEnd w:id="35"/>
    <w:bookmarkStart w:id="36" w:name="ref-wood_smoothing_2016"/>
    <w:p>
      <w:pPr>
        <w:pStyle w:val="Bibliography"/>
      </w:pPr>
      <w:r>
        <w:t xml:space="preserve">Wood S.N., N., Pya &amp; S"afken B. (2016). Smoothing parameter and model selection for general smooth models (with discussion).</w:t>
      </w:r>
      <w:r>
        <w:t xml:space="preserve"> </w:t>
      </w:r>
      <w:r>
        <w:rPr>
          <w:i/>
        </w:rPr>
        <w:t xml:space="preserve">Journal of the American Statistical Association</w:t>
      </w:r>
      <w:r>
        <w:t xml:space="preserve"> </w:t>
      </w:r>
      <w:r>
        <w:rPr>
          <w:b/>
        </w:rPr>
        <w:t xml:space="preserve">111</w:t>
      </w:r>
      <w:r>
        <w:t xml:space="preserve">, 1548–1575</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3389/fevo.2015.00094" TargetMode="External" /><Relationship Type="http://schemas.openxmlformats.org/officeDocument/2006/relationships/hyperlink" Id="rId28" Target="https://doi.org/10.3389/fevo.2018.00149" TargetMode="External" /><Relationship Type="http://schemas.openxmlformats.org/officeDocument/2006/relationships/hyperlink" Id="rId23" Target="https://doi.org/10.7717/peerj.6876" TargetMode="External" /><Relationship Type="http://schemas.openxmlformats.org/officeDocument/2006/relationships/hyperlink" Id="rId20" Target="https://github.com/simpson-lab/kenosee-white-bear"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3389/fevo.2015.00094" TargetMode="External" /><Relationship Type="http://schemas.openxmlformats.org/officeDocument/2006/relationships/hyperlink" Id="rId28" Target="https://doi.org/10.3389/fevo.2018.00149" TargetMode="External" /><Relationship Type="http://schemas.openxmlformats.org/officeDocument/2006/relationships/hyperlink" Id="rId23" Target="https://doi.org/10.7717/peerj.6876" TargetMode="External" /><Relationship Type="http://schemas.openxmlformats.org/officeDocument/2006/relationships/hyperlink" Id="rId20" Target="https://github.com/simpson-lab/kenosee-white-be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2021-04-29T14:13:00Z</dcterms:created>
  <dcterms:modified xsi:type="dcterms:W3CDTF">2021-04-29T14:13:00Z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kenosee-white-bear.bib</vt:lpwstr>
  </property>
  <property fmtid="{D5CDD505-2E9C-101B-9397-08002B2CF9AE}" pid="3" name="csl">
    <vt:lpwstr>freshwater-biology.csl</vt:lpwstr>
  </property>
  <property fmtid="{D5CDD505-2E9C-101B-9397-08002B2CF9AE}" pid="4" name="output">
    <vt:lpwstr>word_document</vt:lpwstr>
  </property>
</Properties>
</file>