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1AF" w:rsidRDefault="00F421AF" w:rsidP="007450EF">
      <w:pPr>
        <w:pStyle w:val="ListParagraph"/>
        <w:numPr>
          <w:ilvl w:val="0"/>
          <w:numId w:val="1"/>
        </w:numPr>
        <w:jc w:val="both"/>
      </w:pPr>
      <w:r>
        <w:t xml:space="preserve">The </w:t>
      </w:r>
      <w:r w:rsidRPr="00F421AF">
        <w:rPr>
          <w:u w:val="single"/>
        </w:rPr>
        <w:t>independent variable</w:t>
      </w:r>
      <w:r>
        <w:t xml:space="preserve"> in this study is the word condition (congruent or incongruent); congruent word lists contain color words that are inked in the colors of the same name, whereas incongruent word lists contain color words that are inked in colors that are of a different name. The </w:t>
      </w:r>
      <w:r w:rsidRPr="00F421AF">
        <w:rPr>
          <w:u w:val="single"/>
        </w:rPr>
        <w:t>dependent variable</w:t>
      </w:r>
      <w:r>
        <w:t xml:space="preserve"> is the amount of time it takes a participant to name the ink colors of all words in equally-sized lists.</w:t>
      </w:r>
    </w:p>
    <w:p w:rsidR="00B80DDC" w:rsidRDefault="00B80DDC" w:rsidP="007450EF">
      <w:pPr>
        <w:pStyle w:val="ListParagraph"/>
        <w:numPr>
          <w:ilvl w:val="0"/>
          <w:numId w:val="1"/>
        </w:numPr>
        <w:jc w:val="both"/>
      </w:pPr>
      <w:r>
        <w:t xml:space="preserve">Let </w:t>
      </w:r>
      <w:proofErr w:type="spellStart"/>
      <w:r>
        <w:t>μ</w:t>
      </w:r>
      <w:r>
        <w:rPr>
          <w:vertAlign w:val="subscript"/>
        </w:rPr>
        <w:t>diff</w:t>
      </w:r>
      <w:proofErr w:type="spellEnd"/>
      <w:r>
        <w:t xml:space="preserve"> = </w:t>
      </w:r>
      <w:proofErr w:type="spellStart"/>
      <w:r>
        <w:t>μ</w:t>
      </w:r>
      <w:r>
        <w:rPr>
          <w:vertAlign w:val="subscript"/>
        </w:rPr>
        <w:t>incongruent</w:t>
      </w:r>
      <w:proofErr w:type="spellEnd"/>
      <w:r>
        <w:t xml:space="preserve"> - μ</w:t>
      </w:r>
      <w:r>
        <w:rPr>
          <w:vertAlign w:val="subscript"/>
        </w:rPr>
        <w:t xml:space="preserve"> congruent</w:t>
      </w:r>
      <w:r>
        <w:t>, where: μ</w:t>
      </w:r>
      <w:r>
        <w:rPr>
          <w:vertAlign w:val="subscript"/>
        </w:rPr>
        <w:t xml:space="preserve"> congruent</w:t>
      </w:r>
      <w:r>
        <w:t xml:space="preserve"> is the mean time required to name the ink color of words in congruent trials for the population; and μ</w:t>
      </w:r>
      <w:r>
        <w:rPr>
          <w:vertAlign w:val="subscript"/>
        </w:rPr>
        <w:t xml:space="preserve"> incongruent</w:t>
      </w:r>
      <w:r>
        <w:t xml:space="preserve"> is the mean time required to name the ink color of words in incongruent trials for the population.</w:t>
      </w:r>
    </w:p>
    <w:p w:rsidR="00F421AF" w:rsidRDefault="00F421AF" w:rsidP="00B80DDC">
      <w:pPr>
        <w:pStyle w:val="ListParagraph"/>
        <w:jc w:val="both"/>
      </w:pPr>
      <w:r>
        <w:t xml:space="preserve">A suitable </w:t>
      </w:r>
      <w:r w:rsidR="00F163F2">
        <w:t xml:space="preserve">set of hypotheses for this </w:t>
      </w:r>
      <w:r w:rsidR="00B80DDC">
        <w:t>study</w:t>
      </w:r>
      <w:r w:rsidR="00F163F2">
        <w:t xml:space="preserve"> are:</w:t>
      </w:r>
    </w:p>
    <w:p w:rsidR="00F163F2" w:rsidRDefault="00F163F2" w:rsidP="007450EF">
      <w:pPr>
        <w:pStyle w:val="ListParagraph"/>
        <w:numPr>
          <w:ilvl w:val="1"/>
          <w:numId w:val="1"/>
        </w:numPr>
        <w:jc w:val="both"/>
      </w:pPr>
      <w:r>
        <w:t>H</w:t>
      </w:r>
      <w:r>
        <w:rPr>
          <w:vertAlign w:val="subscript"/>
        </w:rPr>
        <w:t>0</w:t>
      </w:r>
      <w:r>
        <w:t xml:space="preserve">: There is no difference in the time </w:t>
      </w:r>
      <w:r w:rsidR="00B80DDC">
        <w:t xml:space="preserve">taken </w:t>
      </w:r>
      <w:r>
        <w:t>to name the ink colors of the equally-sized congruent and incongruent lists</w:t>
      </w:r>
      <w:r w:rsidR="00B80DDC">
        <w:t xml:space="preserve"> for the population</w:t>
      </w:r>
      <w:r>
        <w:t>.</w:t>
      </w:r>
      <w:r w:rsidR="00733F29">
        <w:t xml:space="preserve"> (μ</w:t>
      </w:r>
      <w:r w:rsidR="00733F29">
        <w:rPr>
          <w:vertAlign w:val="subscript"/>
        </w:rPr>
        <w:t xml:space="preserve"> </w:t>
      </w:r>
      <w:r w:rsidR="00B80DDC">
        <w:rPr>
          <w:vertAlign w:val="subscript"/>
        </w:rPr>
        <w:t>diff</w:t>
      </w:r>
      <w:r w:rsidR="00733F29">
        <w:t xml:space="preserve"> = </w:t>
      </w:r>
      <w:r w:rsidR="00B80DDC">
        <w:t>0, or μ</w:t>
      </w:r>
      <w:r w:rsidR="00B80DDC">
        <w:rPr>
          <w:vertAlign w:val="subscript"/>
        </w:rPr>
        <w:t xml:space="preserve"> congruent </w:t>
      </w:r>
      <w:r w:rsidR="00B80DDC">
        <w:t>= μ</w:t>
      </w:r>
      <w:r w:rsidR="00B80DDC">
        <w:rPr>
          <w:vertAlign w:val="subscript"/>
        </w:rPr>
        <w:t xml:space="preserve"> incongruent</w:t>
      </w:r>
      <w:r w:rsidR="00733F29">
        <w:t>)</w:t>
      </w:r>
    </w:p>
    <w:p w:rsidR="00F163F2" w:rsidRDefault="00F163F2" w:rsidP="007450EF">
      <w:pPr>
        <w:pStyle w:val="ListParagraph"/>
        <w:numPr>
          <w:ilvl w:val="1"/>
          <w:numId w:val="1"/>
        </w:numPr>
        <w:jc w:val="both"/>
      </w:pPr>
      <w:r>
        <w:t>H</w:t>
      </w:r>
      <w:r>
        <w:rPr>
          <w:vertAlign w:val="subscript"/>
        </w:rPr>
        <w:t>A</w:t>
      </w:r>
      <w:r>
        <w:t xml:space="preserve">: It takes </w:t>
      </w:r>
      <w:r w:rsidR="00B80DDC">
        <w:t xml:space="preserve">more time </w:t>
      </w:r>
      <w:r>
        <w:t>to name the ink colors of incongruent lists compared to equally-sized congruent lists</w:t>
      </w:r>
      <w:r w:rsidR="00B80DDC" w:rsidRPr="00B80DDC">
        <w:t xml:space="preserve"> </w:t>
      </w:r>
      <w:r w:rsidR="00B80DDC">
        <w:t>for the population</w:t>
      </w:r>
      <w:r>
        <w:t>.</w:t>
      </w:r>
      <w:r w:rsidR="00733F29" w:rsidRPr="00733F29">
        <w:t xml:space="preserve"> </w:t>
      </w:r>
      <w:r w:rsidR="00733F29">
        <w:t>(</w:t>
      </w:r>
      <w:r w:rsidR="00B80DDC">
        <w:t>0</w:t>
      </w:r>
      <w:r w:rsidR="00733F29">
        <w:t xml:space="preserve"> &lt; </w:t>
      </w:r>
      <w:proofErr w:type="spellStart"/>
      <w:r w:rsidR="00733F29">
        <w:t>μ</w:t>
      </w:r>
      <w:r w:rsidR="00B80DDC">
        <w:rPr>
          <w:vertAlign w:val="subscript"/>
        </w:rPr>
        <w:t>diff</w:t>
      </w:r>
      <w:proofErr w:type="spellEnd"/>
      <w:r w:rsidR="00B80DDC">
        <w:t>, or μ</w:t>
      </w:r>
      <w:r w:rsidR="00B80DDC">
        <w:rPr>
          <w:vertAlign w:val="subscript"/>
        </w:rPr>
        <w:t xml:space="preserve"> congruent </w:t>
      </w:r>
      <w:r w:rsidR="00B80DDC">
        <w:t>&lt; μ</w:t>
      </w:r>
      <w:r w:rsidR="00B80DDC">
        <w:rPr>
          <w:vertAlign w:val="subscript"/>
        </w:rPr>
        <w:t xml:space="preserve"> incongruent</w:t>
      </w:r>
      <w:r w:rsidR="00733F29">
        <w:rPr>
          <w:vertAlign w:val="subscript"/>
        </w:rPr>
        <w:t xml:space="preserve"> </w:t>
      </w:r>
      <w:r w:rsidR="00733F29">
        <w:t>)</w:t>
      </w:r>
    </w:p>
    <w:p w:rsidR="00FB15DB" w:rsidRDefault="00F163F2" w:rsidP="007450EF">
      <w:pPr>
        <w:pStyle w:val="ListParagraph"/>
        <w:jc w:val="both"/>
      </w:pPr>
      <w:r>
        <w:t xml:space="preserve">To determine whether there is a difference in the times it takes a participant to name the ink colors of the congruent and incongruent lists, I would propose using a paired sample t-test to test the hypotheses outlined above. </w:t>
      </w:r>
      <w:r w:rsidR="00FB15DB">
        <w:t xml:space="preserve">Paired sample t-tests are great for comparing two sets of measurements that are paired by the subject. </w:t>
      </w:r>
    </w:p>
    <w:p w:rsidR="00F163F2" w:rsidRPr="00EC0F3E" w:rsidRDefault="00FB15DB" w:rsidP="007450EF">
      <w:pPr>
        <w:pStyle w:val="ListParagraph"/>
        <w:jc w:val="both"/>
      </w:pPr>
      <w:r>
        <w:t xml:space="preserve">In order to proceed with this test, the following assumptions must be verified: first, that the </w:t>
      </w:r>
      <w:r>
        <w:rPr>
          <w:lang w:val="en-CA"/>
        </w:rPr>
        <w:t xml:space="preserve">differences of the paired measurements are normally distributed; </w:t>
      </w:r>
      <w:r w:rsidR="00977693">
        <w:rPr>
          <w:lang w:val="en-CA"/>
        </w:rPr>
        <w:t xml:space="preserve">second that there are equal variances in the groups being compared; and third that the measurements are </w:t>
      </w:r>
      <w:r w:rsidR="002803C4">
        <w:rPr>
          <w:lang w:val="en-CA"/>
        </w:rPr>
        <w:t>independent</w:t>
      </w:r>
    </w:p>
    <w:p w:rsidR="00FB15DB" w:rsidRDefault="00FB15DB" w:rsidP="007450EF">
      <w:pPr>
        <w:pStyle w:val="ListParagraph"/>
        <w:jc w:val="both"/>
      </w:pPr>
    </w:p>
    <w:p w:rsidR="002803C4" w:rsidRDefault="002803C4" w:rsidP="007450EF">
      <w:pPr>
        <w:pStyle w:val="ListParagraph"/>
        <w:numPr>
          <w:ilvl w:val="0"/>
          <w:numId w:val="1"/>
        </w:numPr>
        <w:jc w:val="both"/>
      </w:pPr>
      <w:r>
        <w:t>Par</w:t>
      </w:r>
      <w:r w:rsidR="00620898">
        <w:t>ticipants in this study required on average 14.05 ± 3.</w:t>
      </w:r>
      <w:r w:rsidR="00B80DDC">
        <w:t>56</w:t>
      </w:r>
      <w:r w:rsidR="00620898">
        <w:t xml:space="preserve"> seconds to name the ink colors in the trials involving congruent ink and color names (Table 1); whereas in the incongruent trials, participants required 22.02 ± 4.</w:t>
      </w:r>
      <w:r w:rsidR="00B80DDC">
        <w:t>80</w:t>
      </w:r>
      <w:r w:rsidR="00620898">
        <w:t xml:space="preserve"> seconds to complete the task (Table 1). </w:t>
      </w:r>
      <w:r w:rsidR="007450EF">
        <w:t>L</w:t>
      </w:r>
      <w:r w:rsidR="00620898">
        <w:t xml:space="preserve">ooking at the difference in time required to complete the congruent and incongruent trials, participants completed congruent trials 7.97 ± </w:t>
      </w:r>
      <w:r w:rsidR="00B80DDC">
        <w:t>4.86</w:t>
      </w:r>
      <w:r w:rsidR="00620898">
        <w:t xml:space="preserve"> seconds faster than the incongruent trials on average. Interestingly, the standard deviation of the difference in time required to complete the two trials, is roughly half the magnitude of the standard deviation of either of the </w:t>
      </w:r>
      <w:r w:rsidR="000E227D">
        <w:t>treatment groups (congruent and incongruent).</w:t>
      </w:r>
    </w:p>
    <w:p w:rsidR="002803C4" w:rsidRDefault="002803C4" w:rsidP="002803C4">
      <w:pPr>
        <w:pStyle w:val="Caption"/>
        <w:keepNext/>
      </w:pPr>
      <w:r>
        <w:t xml:space="preserve">Table </w:t>
      </w:r>
      <w:r w:rsidR="00E95F98">
        <w:fldChar w:fldCharType="begin"/>
      </w:r>
      <w:r w:rsidR="00E95F98">
        <w:instrText xml:space="preserve"> SEQ Table \* ARABIC </w:instrText>
      </w:r>
      <w:r w:rsidR="00E95F98">
        <w:fldChar w:fldCharType="separate"/>
      </w:r>
      <w:r w:rsidR="00B116A6">
        <w:rPr>
          <w:noProof/>
        </w:rPr>
        <w:t>1</w:t>
      </w:r>
      <w:r w:rsidR="00E95F98">
        <w:rPr>
          <w:noProof/>
        </w:rPr>
        <w:fldChar w:fldCharType="end"/>
      </w:r>
      <w:r>
        <w:t xml:space="preserve"> Descriptive statistics for the Stroop Effect study comprising 25 participants.</w:t>
      </w:r>
    </w:p>
    <w:tbl>
      <w:tblPr>
        <w:tblStyle w:val="TableGrid"/>
        <w:tblW w:w="0" w:type="auto"/>
        <w:tblLook w:val="04A0" w:firstRow="1" w:lastRow="0" w:firstColumn="1" w:lastColumn="0" w:noHBand="0" w:noVBand="1"/>
      </w:tblPr>
      <w:tblGrid>
        <w:gridCol w:w="2469"/>
        <w:gridCol w:w="2386"/>
        <w:gridCol w:w="2412"/>
        <w:gridCol w:w="2083"/>
      </w:tblGrid>
      <w:tr w:rsidR="00B55A45" w:rsidTr="00B55A45">
        <w:tc>
          <w:tcPr>
            <w:tcW w:w="2469" w:type="dxa"/>
          </w:tcPr>
          <w:p w:rsidR="00B55A45" w:rsidRDefault="00B55A45" w:rsidP="00B55A45">
            <w:r>
              <w:t>Group</w:t>
            </w:r>
          </w:p>
        </w:tc>
        <w:tc>
          <w:tcPr>
            <w:tcW w:w="2386" w:type="dxa"/>
          </w:tcPr>
          <w:p w:rsidR="00B55A45" w:rsidRDefault="00B55A45" w:rsidP="00B55A45">
            <w:r>
              <w:t>Mean ± SD (seconds)</w:t>
            </w:r>
          </w:p>
        </w:tc>
        <w:tc>
          <w:tcPr>
            <w:tcW w:w="2412" w:type="dxa"/>
          </w:tcPr>
          <w:p w:rsidR="00B55A45" w:rsidRPr="00B55A45" w:rsidRDefault="00B55A45" w:rsidP="00B55A45">
            <w:r>
              <w:t>Variance (seconds</w:t>
            </w:r>
            <w:r>
              <w:rPr>
                <w:vertAlign w:val="superscript"/>
              </w:rPr>
              <w:t>2</w:t>
            </w:r>
            <w:r>
              <w:t>)</w:t>
            </w:r>
          </w:p>
        </w:tc>
        <w:tc>
          <w:tcPr>
            <w:tcW w:w="2083" w:type="dxa"/>
          </w:tcPr>
          <w:p w:rsidR="00B55A45" w:rsidRDefault="00B55A45" w:rsidP="00B55A45">
            <w:r>
              <w:t>Median (seconds)</w:t>
            </w:r>
          </w:p>
        </w:tc>
      </w:tr>
      <w:tr w:rsidR="00B55A45" w:rsidTr="00B55A45">
        <w:tc>
          <w:tcPr>
            <w:tcW w:w="2469" w:type="dxa"/>
          </w:tcPr>
          <w:p w:rsidR="00B55A45" w:rsidRDefault="00B55A45" w:rsidP="00B55A45">
            <w:r>
              <w:t>Congruent</w:t>
            </w:r>
          </w:p>
        </w:tc>
        <w:tc>
          <w:tcPr>
            <w:tcW w:w="2386" w:type="dxa"/>
          </w:tcPr>
          <w:p w:rsidR="00B55A45" w:rsidRDefault="00B55A45" w:rsidP="00B80DDC">
            <w:r>
              <w:t>14.0511 ± 3.</w:t>
            </w:r>
            <w:r w:rsidR="00B80DDC">
              <w:t>5594</w:t>
            </w:r>
          </w:p>
        </w:tc>
        <w:tc>
          <w:tcPr>
            <w:tcW w:w="2412" w:type="dxa"/>
          </w:tcPr>
          <w:p w:rsidR="00B55A45" w:rsidRDefault="00B55A45" w:rsidP="00B55A45">
            <w:r>
              <w:t>1</w:t>
            </w:r>
            <w:r w:rsidR="00B80DDC">
              <w:t>2.6690</w:t>
            </w:r>
          </w:p>
        </w:tc>
        <w:tc>
          <w:tcPr>
            <w:tcW w:w="2083" w:type="dxa"/>
          </w:tcPr>
          <w:p w:rsidR="00B55A45" w:rsidRDefault="00B55A45" w:rsidP="00B55A45">
            <w:r>
              <w:t>14.3565</w:t>
            </w:r>
          </w:p>
        </w:tc>
      </w:tr>
      <w:tr w:rsidR="00B55A45" w:rsidTr="00B55A45">
        <w:tc>
          <w:tcPr>
            <w:tcW w:w="2469" w:type="dxa"/>
          </w:tcPr>
          <w:p w:rsidR="00B55A45" w:rsidRDefault="00B55A45" w:rsidP="00B55A45">
            <w:r>
              <w:t>Incongruent</w:t>
            </w:r>
          </w:p>
        </w:tc>
        <w:tc>
          <w:tcPr>
            <w:tcW w:w="2386" w:type="dxa"/>
          </w:tcPr>
          <w:p w:rsidR="00B55A45" w:rsidRDefault="00B55A45" w:rsidP="00B55A45">
            <w:r>
              <w:t xml:space="preserve">22.0159 ± </w:t>
            </w:r>
            <w:r w:rsidR="00B80DDC">
              <w:t>4.7971</w:t>
            </w:r>
          </w:p>
        </w:tc>
        <w:tc>
          <w:tcPr>
            <w:tcW w:w="2412" w:type="dxa"/>
          </w:tcPr>
          <w:p w:rsidR="00B55A45" w:rsidRDefault="00B55A45" w:rsidP="00B80DDC">
            <w:r>
              <w:t>2</w:t>
            </w:r>
            <w:r w:rsidR="00B80DDC">
              <w:t>3.0118</w:t>
            </w:r>
          </w:p>
        </w:tc>
        <w:tc>
          <w:tcPr>
            <w:tcW w:w="2083" w:type="dxa"/>
          </w:tcPr>
          <w:p w:rsidR="00B55A45" w:rsidRDefault="00B55A45" w:rsidP="00B55A45">
            <w:r>
              <w:t>21.0175</w:t>
            </w:r>
          </w:p>
        </w:tc>
      </w:tr>
      <w:tr w:rsidR="002803C4" w:rsidTr="00B55A45">
        <w:tc>
          <w:tcPr>
            <w:tcW w:w="2469" w:type="dxa"/>
          </w:tcPr>
          <w:p w:rsidR="002803C4" w:rsidRDefault="002803C4" w:rsidP="00B55A45">
            <w:r>
              <w:t>Difference</w:t>
            </w:r>
          </w:p>
        </w:tc>
        <w:tc>
          <w:tcPr>
            <w:tcW w:w="2386" w:type="dxa"/>
          </w:tcPr>
          <w:p w:rsidR="002803C4" w:rsidRDefault="004176F0" w:rsidP="00B80DDC">
            <w:r>
              <w:t>7.9648 ± 4.</w:t>
            </w:r>
            <w:r w:rsidR="00B80DDC">
              <w:t>8648</w:t>
            </w:r>
          </w:p>
        </w:tc>
        <w:tc>
          <w:tcPr>
            <w:tcW w:w="2412" w:type="dxa"/>
          </w:tcPr>
          <w:p w:rsidR="002803C4" w:rsidRDefault="004176F0" w:rsidP="00B80DDC">
            <w:r>
              <w:t>2</w:t>
            </w:r>
            <w:r w:rsidR="00B80DDC">
              <w:t>3.6665</w:t>
            </w:r>
          </w:p>
        </w:tc>
        <w:tc>
          <w:tcPr>
            <w:tcW w:w="2083" w:type="dxa"/>
          </w:tcPr>
          <w:p w:rsidR="002803C4" w:rsidRDefault="004176F0" w:rsidP="00B55A45">
            <w:r>
              <w:t>7.6665</w:t>
            </w:r>
          </w:p>
        </w:tc>
      </w:tr>
    </w:tbl>
    <w:p w:rsidR="00B55A45" w:rsidRDefault="00B55A45" w:rsidP="00B55A45"/>
    <w:p w:rsidR="00D80E60" w:rsidRDefault="00D80E60" w:rsidP="007450EF">
      <w:pPr>
        <w:pStyle w:val="ListParagraph"/>
        <w:numPr>
          <w:ilvl w:val="0"/>
          <w:numId w:val="1"/>
        </w:numPr>
        <w:jc w:val="both"/>
      </w:pPr>
      <w:r>
        <w:t>As is suggested above, the distribution of times required for participants to complete the incongruent ink color naming trials is greater than that for the distribution of times for participants completing the congruent trials – with some overlap in the two distributions</w:t>
      </w:r>
      <w:r w:rsidR="0021655C">
        <w:t xml:space="preserve"> (Figure 1). </w:t>
      </w:r>
      <w:r>
        <w:t>In order to use a paired-sample t-test to see if there is a difference in time for participants to complete the two trials, one must assess whether the differences in time for these trials is normally distributed</w:t>
      </w:r>
      <w:r w:rsidR="00C0752B">
        <w:t>. A</w:t>
      </w:r>
      <w:r>
        <w:t xml:space="preserve">ccordingly, when looking at </w:t>
      </w:r>
      <w:r w:rsidR="00C0752B">
        <w:t xml:space="preserve">a quantile plot of </w:t>
      </w:r>
      <w:r>
        <w:t>the full dataset</w:t>
      </w:r>
      <w:r w:rsidR="00C0752B">
        <w:t xml:space="preserve">, the data do not appear to be normal as there are significant deviations from the one-to-one line (Figure 2, left </w:t>
      </w:r>
      <w:r w:rsidR="00C0752B">
        <w:lastRenderedPageBreak/>
        <w:t>panel); however, when the two outliers are removed, the data fit the normal distribution much better (Figure 2, right panel).</w:t>
      </w:r>
    </w:p>
    <w:p w:rsidR="009F3CBE" w:rsidRDefault="000D6D4D" w:rsidP="00D80E60">
      <w:pPr>
        <w:pStyle w:val="ListParagraph"/>
        <w:keepNext/>
      </w:pPr>
      <w:r>
        <w:rPr>
          <w:noProof/>
        </w:rPr>
        <w:drawing>
          <wp:inline distT="0" distB="0" distL="0" distR="0" wp14:anchorId="232D77F9" wp14:editId="654C1B1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17E00" w:rsidRDefault="009F3CBE" w:rsidP="007450EF">
      <w:pPr>
        <w:pStyle w:val="Caption"/>
        <w:jc w:val="both"/>
      </w:pPr>
      <w:r>
        <w:t xml:space="preserve">Figure </w:t>
      </w:r>
      <w:r w:rsidR="00E95F98">
        <w:fldChar w:fldCharType="begin"/>
      </w:r>
      <w:r w:rsidR="00E95F98">
        <w:instrText xml:space="preserve"> SEQ Figure \* ARABIC </w:instrText>
      </w:r>
      <w:r w:rsidR="00E95F98">
        <w:fldChar w:fldCharType="separate"/>
      </w:r>
      <w:r w:rsidR="00B116A6">
        <w:rPr>
          <w:noProof/>
        </w:rPr>
        <w:t>1</w:t>
      </w:r>
      <w:r w:rsidR="00E95F98">
        <w:rPr>
          <w:noProof/>
        </w:rPr>
        <w:fldChar w:fldCharType="end"/>
      </w:r>
      <w:r w:rsidR="004176F0">
        <w:rPr>
          <w:noProof/>
        </w:rPr>
        <w:t>:</w:t>
      </w:r>
      <w:r>
        <w:t xml:space="preserve"> </w:t>
      </w:r>
      <w:r w:rsidR="000D6D4D">
        <w:t xml:space="preserve">Histogram of the time required for 24 participants </w:t>
      </w:r>
      <w:r w:rsidR="0021655C">
        <w:t xml:space="preserve">of a study examining the Stroop effect </w:t>
      </w:r>
      <w:r w:rsidR="000D6D4D">
        <w:t xml:space="preserve">to complete incongruent </w:t>
      </w:r>
      <w:r w:rsidR="0021655C">
        <w:t xml:space="preserve">color naming </w:t>
      </w:r>
      <w:r w:rsidR="000D6D4D">
        <w:t xml:space="preserve">trials (blue bars), congruent </w:t>
      </w:r>
      <w:r w:rsidR="0021655C">
        <w:t xml:space="preserve">color naming </w:t>
      </w:r>
      <w:r w:rsidR="000D6D4D">
        <w:t>trials (red bars) and the difference</w:t>
      </w:r>
      <w:r w:rsidR="0021655C">
        <w:t xml:space="preserve"> between these two trials (gray bars)</w:t>
      </w:r>
      <w:r w:rsidR="000D6D4D">
        <w:t xml:space="preserve"> </w:t>
      </w:r>
      <w:r>
        <w:t>(in seconds)</w:t>
      </w:r>
      <w:r w:rsidR="0021655C">
        <w:t>.</w:t>
      </w:r>
    </w:p>
    <w:p w:rsidR="00E17E00" w:rsidRDefault="00E80E65" w:rsidP="00E17E00">
      <w:pPr>
        <w:keepNext/>
        <w:jc w:val="center"/>
      </w:pPr>
      <w:r>
        <w:rPr>
          <w:noProof/>
        </w:rPr>
        <w:drawing>
          <wp:inline distT="0" distB="0" distL="0" distR="0" wp14:anchorId="0F363EE3" wp14:editId="496F29FC">
            <wp:extent cx="2990850" cy="24669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911A6" w:rsidRPr="003911A6">
        <w:rPr>
          <w:noProof/>
        </w:rPr>
        <w:t xml:space="preserve"> </w:t>
      </w:r>
      <w:r w:rsidR="003911A6">
        <w:rPr>
          <w:noProof/>
        </w:rPr>
        <w:drawing>
          <wp:inline distT="0" distB="0" distL="0" distR="0" wp14:anchorId="641A5B69" wp14:editId="2628467C">
            <wp:extent cx="2914650" cy="24765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7E00" w:rsidRDefault="00E17E00" w:rsidP="007450EF">
      <w:pPr>
        <w:pStyle w:val="Caption"/>
        <w:jc w:val="both"/>
      </w:pPr>
      <w:r>
        <w:t xml:space="preserve">Figure </w:t>
      </w:r>
      <w:r w:rsidR="00E95F98">
        <w:fldChar w:fldCharType="begin"/>
      </w:r>
      <w:r w:rsidR="00E95F98">
        <w:instrText xml:space="preserve"> SEQ Figure \* ARABIC </w:instrText>
      </w:r>
      <w:r w:rsidR="00E95F98">
        <w:fldChar w:fldCharType="separate"/>
      </w:r>
      <w:r w:rsidR="00B116A6">
        <w:rPr>
          <w:noProof/>
        </w:rPr>
        <w:t>2</w:t>
      </w:r>
      <w:r w:rsidR="00E95F98">
        <w:rPr>
          <w:noProof/>
        </w:rPr>
        <w:fldChar w:fldCharType="end"/>
      </w:r>
      <w:r w:rsidR="004176F0">
        <w:rPr>
          <w:noProof/>
        </w:rPr>
        <w:t>:</w:t>
      </w:r>
      <w:r>
        <w:t xml:space="preserve"> Normal quantile plot</w:t>
      </w:r>
      <w:r w:rsidR="004176F0">
        <w:t>s</w:t>
      </w:r>
      <w:r>
        <w:t xml:space="preserve"> of the difference in time it takes a participant in the Stroop study to complete the ink naming task in the congruent and incongruent conditions.</w:t>
      </w:r>
      <w:r w:rsidR="004176F0">
        <w:t xml:space="preserve"> The left plot is for the full data-set (n=24), whereas the right plot is for the data with outliers removed (n=22).</w:t>
      </w:r>
      <w:r w:rsidR="00C0752B">
        <w:t xml:space="preserve"> Orange circles denote data points, the blue line represents a one-to-one line demonstrating the expected value of the data quantiles, if they were drawn from a normal distribution.</w:t>
      </w:r>
    </w:p>
    <w:p w:rsidR="00E17E00" w:rsidRDefault="001B25A7" w:rsidP="007450EF">
      <w:pPr>
        <w:pStyle w:val="ListParagraph"/>
        <w:numPr>
          <w:ilvl w:val="0"/>
          <w:numId w:val="1"/>
        </w:numPr>
        <w:jc w:val="both"/>
      </w:pPr>
      <w:r>
        <w:t xml:space="preserve">The critical t value for this test given 23 degrees of freedom, and an alpha of </w:t>
      </w:r>
      <w:r w:rsidR="00AB682D">
        <w:t xml:space="preserve">0.05, </w:t>
      </w:r>
      <w:r w:rsidR="00733F29">
        <w:t>corresponding to a confidence level of 0.95</w:t>
      </w:r>
      <w:r w:rsidR="00AB682D">
        <w:t xml:space="preserve"> (or 95%</w:t>
      </w:r>
      <w:r w:rsidR="00733F29">
        <w:t>)</w:t>
      </w:r>
      <w:r w:rsidR="00AB682D">
        <w:t>,</w:t>
      </w:r>
      <w:r>
        <w:t xml:space="preserve"> is t</w:t>
      </w:r>
      <w:r>
        <w:rPr>
          <w:vertAlign w:val="subscript"/>
        </w:rPr>
        <w:t>23</w:t>
      </w:r>
      <w:r>
        <w:rPr>
          <w:vertAlign w:val="superscript"/>
        </w:rPr>
        <w:t>*</w:t>
      </w:r>
      <w:r w:rsidR="00733F29">
        <w:t xml:space="preserve"> = 1.7139. The test statistic for the full data set is t = </w:t>
      </w:r>
      <w:r w:rsidR="00D23E7B">
        <w:t>8.0207</w:t>
      </w:r>
      <w:bookmarkStart w:id="0" w:name="_GoBack"/>
      <w:bookmarkEnd w:id="0"/>
      <w:r w:rsidR="00733F29">
        <w:t>, which is greater than our critical t value t</w:t>
      </w:r>
      <w:r w:rsidR="00733F29">
        <w:rPr>
          <w:vertAlign w:val="subscript"/>
        </w:rPr>
        <w:t>23</w:t>
      </w:r>
      <w:r w:rsidR="00733F29">
        <w:rPr>
          <w:vertAlign w:val="superscript"/>
        </w:rPr>
        <w:t>*</w:t>
      </w:r>
      <w:r w:rsidR="00733F29">
        <w:t xml:space="preserve"> = 1.7139; accordingly, one must reject the null hypothesis, and conclude that participants required significantly more time to complete the incongruent trials, than the congruent trials. </w:t>
      </w:r>
    </w:p>
    <w:p w:rsidR="00B55A45" w:rsidRDefault="0012353F" w:rsidP="007450EF">
      <w:pPr>
        <w:pStyle w:val="ListParagraph"/>
        <w:numPr>
          <w:ilvl w:val="0"/>
          <w:numId w:val="1"/>
        </w:numPr>
        <w:jc w:val="both"/>
      </w:pPr>
      <w:r>
        <w:lastRenderedPageBreak/>
        <w:t>Response automaticity, wherein people are able to complete tasks without occupying their minds – as a form of automatic response is a possible explanation for this phenomenon (see</w:t>
      </w:r>
      <w:r w:rsidR="0024038C">
        <w:t>:</w:t>
      </w:r>
      <w:r>
        <w:t xml:space="preserve"> </w:t>
      </w:r>
      <w:proofErr w:type="spellStart"/>
      <w:r>
        <w:t>Stirling</w:t>
      </w:r>
      <w:proofErr w:type="spellEnd"/>
      <w:r>
        <w:t xml:space="preserve"> 1979). </w:t>
      </w:r>
      <w:r w:rsidR="007450EF">
        <w:t>W</w:t>
      </w:r>
      <w:r>
        <w:t xml:space="preserve">hen participants complete the congruent </w:t>
      </w:r>
      <w:r w:rsidR="007450EF">
        <w:t xml:space="preserve">color </w:t>
      </w:r>
      <w:r>
        <w:t xml:space="preserve">trials they are engaging in automatic reading of words, the association with color does not require participants to pay closer attention </w:t>
      </w:r>
      <w:r w:rsidR="007450EF">
        <w:t>to the task at hand; whereas when participants took part in the incongruent color trials, it became necessary to pay greater attention to color processing (Monahan 2001). Similar interference could arise from bilingual individuals told to read (or to translate passages) in one language they are familiar with, or passages that comprise a mix of the two languages they are familiar with.</w:t>
      </w:r>
    </w:p>
    <w:p w:rsidR="0012353F" w:rsidRDefault="0012353F" w:rsidP="0012353F"/>
    <w:p w:rsidR="0012353F" w:rsidRDefault="0012353F" w:rsidP="0012353F">
      <w:r>
        <w:rPr>
          <w:b/>
        </w:rPr>
        <w:t>Literature</w:t>
      </w:r>
    </w:p>
    <w:p w:rsidR="0012353F" w:rsidRDefault="0012353F" w:rsidP="0012353F">
      <w:r>
        <w:t xml:space="preserve">Monahan, J.S. (2001). Coloring single Stroop elements: Reducing automaticity or slowing color processing. </w:t>
      </w:r>
      <w:r>
        <w:rPr>
          <w:i/>
        </w:rPr>
        <w:t xml:space="preserve">Journal of General Psychology. </w:t>
      </w:r>
      <w:r>
        <w:rPr>
          <w:b/>
        </w:rPr>
        <w:t>128</w:t>
      </w:r>
      <w:r>
        <w:t>:98-112.</w:t>
      </w:r>
    </w:p>
    <w:p w:rsidR="0012353F" w:rsidRPr="0012353F" w:rsidRDefault="0012353F" w:rsidP="0012353F">
      <w:proofErr w:type="spellStart"/>
      <w:r>
        <w:t>Stirling</w:t>
      </w:r>
      <w:proofErr w:type="spellEnd"/>
      <w:r>
        <w:t xml:space="preserve">, N. (1979). Stroop interference: An input and output phenomenon. </w:t>
      </w:r>
      <w:r>
        <w:rPr>
          <w:i/>
        </w:rPr>
        <w:t>Quarterly Journal of Experimental Psychology.</w:t>
      </w:r>
      <w:r>
        <w:t xml:space="preserve"> </w:t>
      </w:r>
      <w:r>
        <w:rPr>
          <w:b/>
        </w:rPr>
        <w:t>31</w:t>
      </w:r>
      <w:r>
        <w:t>:121-132.</w:t>
      </w:r>
    </w:p>
    <w:sectPr w:rsidR="0012353F" w:rsidRPr="0012353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F98" w:rsidRDefault="00E95F98" w:rsidP="00F421AF">
      <w:pPr>
        <w:spacing w:after="0" w:line="240" w:lineRule="auto"/>
      </w:pPr>
      <w:r>
        <w:separator/>
      </w:r>
    </w:p>
  </w:endnote>
  <w:endnote w:type="continuationSeparator" w:id="0">
    <w:p w:rsidR="00E95F98" w:rsidRDefault="00E95F98" w:rsidP="00F4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F98" w:rsidRDefault="00E95F98" w:rsidP="00F421AF">
      <w:pPr>
        <w:spacing w:after="0" w:line="240" w:lineRule="auto"/>
      </w:pPr>
      <w:r>
        <w:separator/>
      </w:r>
    </w:p>
  </w:footnote>
  <w:footnote w:type="continuationSeparator" w:id="0">
    <w:p w:rsidR="00E95F98" w:rsidRDefault="00E95F98" w:rsidP="00F42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46" w:rsidRPr="00F421AF" w:rsidRDefault="00476246" w:rsidP="00F421AF">
    <w:pPr>
      <w:spacing w:after="0" w:line="240" w:lineRule="auto"/>
      <w:rPr>
        <w:b/>
      </w:rPr>
    </w:pPr>
    <w:r w:rsidRPr="00F421AF">
      <w:rPr>
        <w:b/>
      </w:rPr>
      <w:t>Project 1: The Stroop Effect</w:t>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t>Paul Simpson</w:t>
    </w:r>
  </w:p>
  <w:p w:rsidR="00476246" w:rsidRPr="00F421AF" w:rsidRDefault="00476246" w:rsidP="00F421AF">
    <w:pPr>
      <w:spacing w:after="0" w:line="240" w:lineRule="auto"/>
    </w:pP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rPr>
        <w:b/>
      </w:rPr>
      <w:tab/>
    </w:r>
    <w:r w:rsidRPr="00F421AF">
      <w:t>05/09/2016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11B85"/>
    <w:multiLevelType w:val="hybridMultilevel"/>
    <w:tmpl w:val="586E0AC0"/>
    <w:lvl w:ilvl="0" w:tplc="983CDB7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E29BA"/>
    <w:multiLevelType w:val="hybridMultilevel"/>
    <w:tmpl w:val="03CCEFF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AF"/>
    <w:rsid w:val="000306AE"/>
    <w:rsid w:val="000D6D4D"/>
    <w:rsid w:val="000E227D"/>
    <w:rsid w:val="0012353F"/>
    <w:rsid w:val="001B25A7"/>
    <w:rsid w:val="001F0797"/>
    <w:rsid w:val="0021655C"/>
    <w:rsid w:val="0022119D"/>
    <w:rsid w:val="002249D7"/>
    <w:rsid w:val="0024038C"/>
    <w:rsid w:val="002803C4"/>
    <w:rsid w:val="003911A6"/>
    <w:rsid w:val="004176F0"/>
    <w:rsid w:val="00476246"/>
    <w:rsid w:val="00533583"/>
    <w:rsid w:val="00620898"/>
    <w:rsid w:val="00733F29"/>
    <w:rsid w:val="00735994"/>
    <w:rsid w:val="007450EF"/>
    <w:rsid w:val="00752458"/>
    <w:rsid w:val="00950F24"/>
    <w:rsid w:val="00977693"/>
    <w:rsid w:val="009F3CBE"/>
    <w:rsid w:val="00AB39B6"/>
    <w:rsid w:val="00AB682D"/>
    <w:rsid w:val="00B116A6"/>
    <w:rsid w:val="00B55A45"/>
    <w:rsid w:val="00B61318"/>
    <w:rsid w:val="00B80DDC"/>
    <w:rsid w:val="00C0752B"/>
    <w:rsid w:val="00C8254A"/>
    <w:rsid w:val="00D23E7B"/>
    <w:rsid w:val="00D80E60"/>
    <w:rsid w:val="00E17E00"/>
    <w:rsid w:val="00E661DD"/>
    <w:rsid w:val="00E80E65"/>
    <w:rsid w:val="00E95F98"/>
    <w:rsid w:val="00EB6A93"/>
    <w:rsid w:val="00EC0F3E"/>
    <w:rsid w:val="00F163F2"/>
    <w:rsid w:val="00F421AF"/>
    <w:rsid w:val="00FB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A0C86-B798-4C29-83DF-141A5933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1AF"/>
  </w:style>
  <w:style w:type="paragraph" w:styleId="Footer">
    <w:name w:val="footer"/>
    <w:basedOn w:val="Normal"/>
    <w:link w:val="FooterChar"/>
    <w:uiPriority w:val="99"/>
    <w:unhideWhenUsed/>
    <w:rsid w:val="00F4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1AF"/>
  </w:style>
  <w:style w:type="paragraph" w:styleId="ListParagraph">
    <w:name w:val="List Paragraph"/>
    <w:basedOn w:val="Normal"/>
    <w:uiPriority w:val="34"/>
    <w:qFormat/>
    <w:rsid w:val="00F421AF"/>
    <w:pPr>
      <w:ind w:left="720"/>
      <w:contextualSpacing/>
    </w:pPr>
  </w:style>
  <w:style w:type="table" w:styleId="TableGrid">
    <w:name w:val="Table Grid"/>
    <w:basedOn w:val="TableNormal"/>
    <w:uiPriority w:val="39"/>
    <w:rsid w:val="00B55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5A45"/>
    <w:rPr>
      <w:color w:val="808080"/>
    </w:rPr>
  </w:style>
  <w:style w:type="paragraph" w:styleId="Caption">
    <w:name w:val="caption"/>
    <w:basedOn w:val="Normal"/>
    <w:next w:val="Normal"/>
    <w:uiPriority w:val="35"/>
    <w:unhideWhenUsed/>
    <w:qFormat/>
    <w:rsid w:val="002803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ul\Desktop\Udacity%20DA\Projects\P1%20Stroop%20Effect\stroop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ul\Desktop\Udacity%20DA\Projects\P1%20Stroop%20Effect\stroop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ul\Desktop\Udacity%20DA\Projects\P1%20Stroop%20Effect\stroop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Incongruent</c:v>
          </c:tx>
          <c:spPr>
            <a:solidFill>
              <a:schemeClr val="accent1">
                <a:alpha val="70000"/>
              </a:schemeClr>
            </a:solidFill>
            <a:ln>
              <a:noFill/>
            </a:ln>
            <a:effectLst/>
          </c:spPr>
          <c:invertIfNegative val="0"/>
          <c:cat>
            <c:numRef>
              <c:f>'Fig 1 (histograms)'!$O$3:$O$22</c:f>
              <c:numCache>
                <c:formatCode>General</c:formatCode>
                <c:ptCount val="2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numCache>
            </c:numRef>
          </c:cat>
          <c:val>
            <c:numRef>
              <c:f>'Fig 1 (histograms)'!$P$3:$P$22</c:f>
              <c:numCache>
                <c:formatCode>General</c:formatCode>
                <c:ptCount val="20"/>
                <c:pt idx="0">
                  <c:v>0</c:v>
                </c:pt>
                <c:pt idx="1">
                  <c:v>0</c:v>
                </c:pt>
                <c:pt idx="2">
                  <c:v>0</c:v>
                </c:pt>
                <c:pt idx="3">
                  <c:v>0</c:v>
                </c:pt>
                <c:pt idx="4">
                  <c:v>0</c:v>
                </c:pt>
                <c:pt idx="5">
                  <c:v>0</c:v>
                </c:pt>
                <c:pt idx="6">
                  <c:v>0</c:v>
                </c:pt>
                <c:pt idx="7">
                  <c:v>1</c:v>
                </c:pt>
                <c:pt idx="8">
                  <c:v>4</c:v>
                </c:pt>
                <c:pt idx="9">
                  <c:v>3</c:v>
                </c:pt>
                <c:pt idx="10">
                  <c:v>6</c:v>
                </c:pt>
                <c:pt idx="11">
                  <c:v>4</c:v>
                </c:pt>
                <c:pt idx="12">
                  <c:v>3</c:v>
                </c:pt>
                <c:pt idx="13">
                  <c:v>1</c:v>
                </c:pt>
                <c:pt idx="14">
                  <c:v>0</c:v>
                </c:pt>
                <c:pt idx="15">
                  <c:v>0</c:v>
                </c:pt>
                <c:pt idx="16">
                  <c:v>0</c:v>
                </c:pt>
                <c:pt idx="17">
                  <c:v>2</c:v>
                </c:pt>
                <c:pt idx="18">
                  <c:v>0</c:v>
                </c:pt>
                <c:pt idx="19">
                  <c:v>0</c:v>
                </c:pt>
              </c:numCache>
            </c:numRef>
          </c:val>
        </c:ser>
        <c:ser>
          <c:idx val="1"/>
          <c:order val="1"/>
          <c:tx>
            <c:v>Congruent</c:v>
          </c:tx>
          <c:spPr>
            <a:solidFill>
              <a:schemeClr val="accent2">
                <a:alpha val="70000"/>
              </a:schemeClr>
            </a:solidFill>
            <a:ln>
              <a:noFill/>
            </a:ln>
            <a:effectLst/>
          </c:spPr>
          <c:invertIfNegative val="0"/>
          <c:val>
            <c:numRef>
              <c:f>'Fig 1 (histograms)'!$N$3:$N$22</c:f>
              <c:numCache>
                <c:formatCode>General</c:formatCode>
                <c:ptCount val="20"/>
                <c:pt idx="0">
                  <c:v>0</c:v>
                </c:pt>
                <c:pt idx="1">
                  <c:v>0</c:v>
                </c:pt>
                <c:pt idx="2">
                  <c:v>0</c:v>
                </c:pt>
                <c:pt idx="3">
                  <c:v>0</c:v>
                </c:pt>
                <c:pt idx="4">
                  <c:v>4</c:v>
                </c:pt>
                <c:pt idx="5">
                  <c:v>2</c:v>
                </c:pt>
                <c:pt idx="6">
                  <c:v>5</c:v>
                </c:pt>
                <c:pt idx="7">
                  <c:v>6</c:v>
                </c:pt>
                <c:pt idx="8">
                  <c:v>3</c:v>
                </c:pt>
                <c:pt idx="9">
                  <c:v>3</c:v>
                </c:pt>
                <c:pt idx="10">
                  <c:v>0</c:v>
                </c:pt>
                <c:pt idx="11">
                  <c:v>1</c:v>
                </c:pt>
                <c:pt idx="12">
                  <c:v>0</c:v>
                </c:pt>
                <c:pt idx="13">
                  <c:v>0</c:v>
                </c:pt>
                <c:pt idx="14">
                  <c:v>0</c:v>
                </c:pt>
                <c:pt idx="15">
                  <c:v>0</c:v>
                </c:pt>
                <c:pt idx="16">
                  <c:v>0</c:v>
                </c:pt>
                <c:pt idx="17">
                  <c:v>0</c:v>
                </c:pt>
                <c:pt idx="18">
                  <c:v>0</c:v>
                </c:pt>
                <c:pt idx="19">
                  <c:v>0</c:v>
                </c:pt>
              </c:numCache>
            </c:numRef>
          </c:val>
        </c:ser>
        <c:ser>
          <c:idx val="2"/>
          <c:order val="2"/>
          <c:tx>
            <c:v>Difference</c:v>
          </c:tx>
          <c:spPr>
            <a:solidFill>
              <a:schemeClr val="accent3">
                <a:alpha val="70000"/>
              </a:schemeClr>
            </a:solidFill>
            <a:ln>
              <a:noFill/>
            </a:ln>
            <a:effectLst/>
          </c:spPr>
          <c:invertIfNegative val="0"/>
          <c:val>
            <c:numRef>
              <c:f>'Fig 1 (histograms)'!$R$3:$R$22</c:f>
              <c:numCache>
                <c:formatCode>General</c:formatCode>
                <c:ptCount val="20"/>
                <c:pt idx="0">
                  <c:v>1</c:v>
                </c:pt>
                <c:pt idx="1">
                  <c:v>6</c:v>
                </c:pt>
                <c:pt idx="2">
                  <c:v>1</c:v>
                </c:pt>
                <c:pt idx="3">
                  <c:v>4</c:v>
                </c:pt>
                <c:pt idx="4">
                  <c:v>5</c:v>
                </c:pt>
                <c:pt idx="5">
                  <c:v>5</c:v>
                </c:pt>
                <c:pt idx="6">
                  <c:v>0</c:v>
                </c:pt>
                <c:pt idx="7">
                  <c:v>0</c:v>
                </c:pt>
                <c:pt idx="8">
                  <c:v>1</c:v>
                </c:pt>
                <c:pt idx="9">
                  <c:v>0</c:v>
                </c:pt>
                <c:pt idx="10">
                  <c:v>1</c:v>
                </c:pt>
                <c:pt idx="11">
                  <c:v>0</c:v>
                </c:pt>
                <c:pt idx="12">
                  <c:v>0</c:v>
                </c:pt>
                <c:pt idx="13">
                  <c:v>0</c:v>
                </c:pt>
                <c:pt idx="14">
                  <c:v>0</c:v>
                </c:pt>
                <c:pt idx="15">
                  <c:v>0</c:v>
                </c:pt>
                <c:pt idx="16">
                  <c:v>0</c:v>
                </c:pt>
                <c:pt idx="17">
                  <c:v>0</c:v>
                </c:pt>
                <c:pt idx="18">
                  <c:v>0</c:v>
                </c:pt>
                <c:pt idx="19">
                  <c:v>0</c:v>
                </c:pt>
              </c:numCache>
            </c:numRef>
          </c:val>
        </c:ser>
        <c:dLbls>
          <c:showLegendKey val="0"/>
          <c:showVal val="0"/>
          <c:showCatName val="0"/>
          <c:showSerName val="0"/>
          <c:showPercent val="0"/>
          <c:showBubbleSize val="0"/>
        </c:dLbls>
        <c:gapWidth val="80"/>
        <c:overlap val="25"/>
        <c:axId val="390622776"/>
        <c:axId val="390617680"/>
      </c:barChart>
      <c:catAx>
        <c:axId val="3906227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Time To Complete Trial (Seconds</a:t>
                </a:r>
                <a:r>
                  <a:rPr lang="en-US"/>
                  <a: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390617680"/>
        <c:crosses val="autoZero"/>
        <c:auto val="1"/>
        <c:lblAlgn val="ctr"/>
        <c:lblOffset val="100"/>
        <c:noMultiLvlLbl val="0"/>
      </c:catAx>
      <c:valAx>
        <c:axId val="390617680"/>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Frequency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390622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645084173395523"/>
          <c:y val="5.3482098521468603E-2"/>
          <c:w val="0.7738890282026849"/>
          <c:h val="0.79356053466289678"/>
        </c:manualLayout>
      </c:layout>
      <c:scatterChart>
        <c:scatterStyle val="smoothMarker"/>
        <c:varyColors val="0"/>
        <c:ser>
          <c:idx val="1"/>
          <c:order val="0"/>
          <c:spPr>
            <a:ln w="25400" cap="rnd">
              <a:noFill/>
              <a:round/>
            </a:ln>
            <a:effectLst/>
          </c:spPr>
          <c:marker>
            <c:symbol val="circle"/>
            <c:size val="6"/>
            <c:spPr>
              <a:solidFill>
                <a:schemeClr val="accent2"/>
              </a:solidFill>
              <a:ln w="9525">
                <a:solidFill>
                  <a:schemeClr val="accent2"/>
                </a:solidFill>
                <a:round/>
              </a:ln>
              <a:effectLst/>
            </c:spPr>
          </c:marker>
          <c:xVal>
            <c:numRef>
              <c:f>'Fig 2A (ful data)'!$F$2:$F$26</c:f>
              <c:numCache>
                <c:formatCode>General</c:formatCode>
                <c:ptCount val="25"/>
                <c:pt idx="0">
                  <c:v>-1.2629754229900199</c:v>
                </c:pt>
                <c:pt idx="1">
                  <c:v>-1.2113207737064262</c:v>
                </c:pt>
                <c:pt idx="2">
                  <c:v>-1.1794040798401417</c:v>
                </c:pt>
                <c:pt idx="3">
                  <c:v>-1.1607160156684349</c:v>
                </c:pt>
                <c:pt idx="4">
                  <c:v>-0.96984578721808545</c:v>
                </c:pt>
                <c:pt idx="5">
                  <c:v>-0.95829698351646875</c:v>
                </c:pt>
                <c:pt idx="6">
                  <c:v>-0.88984407430325185</c:v>
                </c:pt>
                <c:pt idx="7">
                  <c:v>-0.59041509105770862</c:v>
                </c:pt>
                <c:pt idx="8">
                  <c:v>-0.39555527587407241</c:v>
                </c:pt>
                <c:pt idx="9">
                  <c:v>-0.27733752161934583</c:v>
                </c:pt>
                <c:pt idx="10">
                  <c:v>-0.19061650473266309</c:v>
                </c:pt>
                <c:pt idx="11">
                  <c:v>-0.16079959335758101</c:v>
                </c:pt>
                <c:pt idx="12">
                  <c:v>3.5530069569897176E-2</c:v>
                </c:pt>
                <c:pt idx="13">
                  <c:v>9.285413157973782E-2</c:v>
                </c:pt>
                <c:pt idx="14">
                  <c:v>0.14177906362476753</c:v>
                </c:pt>
                <c:pt idx="15">
                  <c:v>0.38325405011310881</c:v>
                </c:pt>
                <c:pt idx="16">
                  <c:v>0.40215209253393552</c:v>
                </c:pt>
                <c:pt idx="17">
                  <c:v>0.43322887340373978</c:v>
                </c:pt>
                <c:pt idx="18">
                  <c:v>0.62682881909265298</c:v>
                </c:pt>
                <c:pt idx="19">
                  <c:v>0.71312987948109574</c:v>
                </c:pt>
                <c:pt idx="20">
                  <c:v>0.77381359347686118</c:v>
                </c:pt>
                <c:pt idx="21">
                  <c:v>0.80573028734314656</c:v>
                </c:pt>
                <c:pt idx="22">
                  <c:v>1.9087460299720673</c:v>
                </c:pt>
                <c:pt idx="23">
                  <c:v>2.9300802336931908</c:v>
                </c:pt>
              </c:numCache>
            </c:numRef>
          </c:xVal>
          <c:yVal>
            <c:numRef>
              <c:f>'Fig 2A (ful data)'!$E$2:$E$26</c:f>
              <c:numCache>
                <c:formatCode>General</c:formatCode>
                <c:ptCount val="25"/>
                <c:pt idx="0">
                  <c:v>-2</c:v>
                </c:pt>
                <c:pt idx="1">
                  <c:v>-1.826087</c:v>
                </c:pt>
                <c:pt idx="2">
                  <c:v>-1.652174</c:v>
                </c:pt>
                <c:pt idx="3">
                  <c:v>-1.478261</c:v>
                </c:pt>
                <c:pt idx="4">
                  <c:v>-1.3043480000000001</c:v>
                </c:pt>
                <c:pt idx="5">
                  <c:v>-1.1304350000000001</c:v>
                </c:pt>
                <c:pt idx="6">
                  <c:v>-0.95652200000000009</c:v>
                </c:pt>
                <c:pt idx="7">
                  <c:v>-0.78260900000000011</c:v>
                </c:pt>
                <c:pt idx="8">
                  <c:v>-0.60869600000000013</c:v>
                </c:pt>
                <c:pt idx="9">
                  <c:v>-0.43478300000000014</c:v>
                </c:pt>
                <c:pt idx="10">
                  <c:v>-0.26087000000000016</c:v>
                </c:pt>
                <c:pt idx="11">
                  <c:v>-8.6957000000000145E-2</c:v>
                </c:pt>
                <c:pt idx="12">
                  <c:v>8.6955999999999867E-2</c:v>
                </c:pt>
                <c:pt idx="13">
                  <c:v>0.26086899999999991</c:v>
                </c:pt>
                <c:pt idx="14">
                  <c:v>0.43478199999999989</c:v>
                </c:pt>
                <c:pt idx="15">
                  <c:v>0.60869499999999988</c:v>
                </c:pt>
                <c:pt idx="16">
                  <c:v>0.78260799999999986</c:v>
                </c:pt>
                <c:pt idx="17">
                  <c:v>0.95652099999999984</c:v>
                </c:pt>
                <c:pt idx="18">
                  <c:v>1.1304339999999999</c:v>
                </c:pt>
                <c:pt idx="19">
                  <c:v>1.3043469999999999</c:v>
                </c:pt>
                <c:pt idx="20">
                  <c:v>1.4782599999999999</c:v>
                </c:pt>
                <c:pt idx="21">
                  <c:v>1.6521729999999999</c:v>
                </c:pt>
                <c:pt idx="22">
                  <c:v>1.8260859999999999</c:v>
                </c:pt>
                <c:pt idx="23">
                  <c:v>1.9999989999999999</c:v>
                </c:pt>
                <c:pt idx="24">
                  <c:v>2.1739120000000001</c:v>
                </c:pt>
              </c:numCache>
            </c:numRef>
          </c:yVal>
          <c:smooth val="1"/>
        </c:ser>
        <c:ser>
          <c:idx val="0"/>
          <c:order val="1"/>
          <c:tx>
            <c:v>1:1 line</c:v>
          </c:tx>
          <c:spPr>
            <a:ln w="28575" cap="rnd">
              <a:solidFill>
                <a:schemeClr val="accent1"/>
              </a:solidFill>
              <a:round/>
            </a:ln>
            <a:effectLst/>
          </c:spPr>
          <c:marker>
            <c:symbol val="diamond"/>
            <c:size val="6"/>
            <c:spPr>
              <a:noFill/>
              <a:ln w="9525">
                <a:noFill/>
                <a:round/>
              </a:ln>
              <a:effectLst/>
            </c:spPr>
          </c:marker>
          <c:xVal>
            <c:numRef>
              <c:f>'Fig 2A (ful data)'!$E$2:$E$26</c:f>
              <c:numCache>
                <c:formatCode>General</c:formatCode>
                <c:ptCount val="25"/>
                <c:pt idx="0">
                  <c:v>-2</c:v>
                </c:pt>
                <c:pt idx="1">
                  <c:v>-1.826087</c:v>
                </c:pt>
                <c:pt idx="2">
                  <c:v>-1.652174</c:v>
                </c:pt>
                <c:pt idx="3">
                  <c:v>-1.478261</c:v>
                </c:pt>
                <c:pt idx="4">
                  <c:v>-1.3043480000000001</c:v>
                </c:pt>
                <c:pt idx="5">
                  <c:v>-1.1304350000000001</c:v>
                </c:pt>
                <c:pt idx="6">
                  <c:v>-0.95652200000000009</c:v>
                </c:pt>
                <c:pt idx="7">
                  <c:v>-0.78260900000000011</c:v>
                </c:pt>
                <c:pt idx="8">
                  <c:v>-0.60869600000000013</c:v>
                </c:pt>
                <c:pt idx="9">
                  <c:v>-0.43478300000000014</c:v>
                </c:pt>
                <c:pt idx="10">
                  <c:v>-0.26087000000000016</c:v>
                </c:pt>
                <c:pt idx="11">
                  <c:v>-8.6957000000000145E-2</c:v>
                </c:pt>
                <c:pt idx="12">
                  <c:v>8.6955999999999867E-2</c:v>
                </c:pt>
                <c:pt idx="13">
                  <c:v>0.26086899999999991</c:v>
                </c:pt>
                <c:pt idx="14">
                  <c:v>0.43478199999999989</c:v>
                </c:pt>
                <c:pt idx="15">
                  <c:v>0.60869499999999988</c:v>
                </c:pt>
                <c:pt idx="16">
                  <c:v>0.78260799999999986</c:v>
                </c:pt>
                <c:pt idx="17">
                  <c:v>0.95652099999999984</c:v>
                </c:pt>
                <c:pt idx="18">
                  <c:v>1.1304339999999999</c:v>
                </c:pt>
                <c:pt idx="19">
                  <c:v>1.3043469999999999</c:v>
                </c:pt>
                <c:pt idx="20">
                  <c:v>1.4782599999999999</c:v>
                </c:pt>
                <c:pt idx="21">
                  <c:v>1.6521729999999999</c:v>
                </c:pt>
                <c:pt idx="22">
                  <c:v>1.8260859999999999</c:v>
                </c:pt>
                <c:pt idx="23">
                  <c:v>1.9999989999999999</c:v>
                </c:pt>
                <c:pt idx="24">
                  <c:v>2.1739120000000001</c:v>
                </c:pt>
              </c:numCache>
            </c:numRef>
          </c:xVal>
          <c:yVal>
            <c:numRef>
              <c:f>'Fig 2A (ful data)'!$E$2:$E$26</c:f>
              <c:numCache>
                <c:formatCode>General</c:formatCode>
                <c:ptCount val="25"/>
                <c:pt idx="0">
                  <c:v>-2</c:v>
                </c:pt>
                <c:pt idx="1">
                  <c:v>-1.826087</c:v>
                </c:pt>
                <c:pt idx="2">
                  <c:v>-1.652174</c:v>
                </c:pt>
                <c:pt idx="3">
                  <c:v>-1.478261</c:v>
                </c:pt>
                <c:pt idx="4">
                  <c:v>-1.3043480000000001</c:v>
                </c:pt>
                <c:pt idx="5">
                  <c:v>-1.1304350000000001</c:v>
                </c:pt>
                <c:pt idx="6">
                  <c:v>-0.95652200000000009</c:v>
                </c:pt>
                <c:pt idx="7">
                  <c:v>-0.78260900000000011</c:v>
                </c:pt>
                <c:pt idx="8">
                  <c:v>-0.60869600000000013</c:v>
                </c:pt>
                <c:pt idx="9">
                  <c:v>-0.43478300000000014</c:v>
                </c:pt>
                <c:pt idx="10">
                  <c:v>-0.26087000000000016</c:v>
                </c:pt>
                <c:pt idx="11">
                  <c:v>-8.6957000000000145E-2</c:v>
                </c:pt>
                <c:pt idx="12">
                  <c:v>8.6955999999999867E-2</c:v>
                </c:pt>
                <c:pt idx="13">
                  <c:v>0.26086899999999991</c:v>
                </c:pt>
                <c:pt idx="14">
                  <c:v>0.43478199999999989</c:v>
                </c:pt>
                <c:pt idx="15">
                  <c:v>0.60869499999999988</c:v>
                </c:pt>
                <c:pt idx="16">
                  <c:v>0.78260799999999986</c:v>
                </c:pt>
                <c:pt idx="17">
                  <c:v>0.95652099999999984</c:v>
                </c:pt>
                <c:pt idx="18">
                  <c:v>1.1304339999999999</c:v>
                </c:pt>
                <c:pt idx="19">
                  <c:v>1.3043469999999999</c:v>
                </c:pt>
                <c:pt idx="20">
                  <c:v>1.4782599999999999</c:v>
                </c:pt>
                <c:pt idx="21">
                  <c:v>1.6521729999999999</c:v>
                </c:pt>
                <c:pt idx="22">
                  <c:v>1.8260859999999999</c:v>
                </c:pt>
                <c:pt idx="23">
                  <c:v>1.9999989999999999</c:v>
                </c:pt>
                <c:pt idx="24">
                  <c:v>2.1739120000000001</c:v>
                </c:pt>
              </c:numCache>
            </c:numRef>
          </c:yVal>
          <c:smooth val="1"/>
        </c:ser>
        <c:dLbls>
          <c:showLegendKey val="0"/>
          <c:showVal val="0"/>
          <c:showCatName val="0"/>
          <c:showSerName val="0"/>
          <c:showPercent val="0"/>
          <c:showBubbleSize val="0"/>
        </c:dLbls>
        <c:axId val="390612976"/>
        <c:axId val="390618856"/>
      </c:scatterChart>
      <c:valAx>
        <c:axId val="390612976"/>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Theoretical Quantiles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none"/>
        <c:tickLblPos val="low"/>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90618856"/>
        <c:crosses val="autoZero"/>
        <c:crossBetween val="midCat"/>
        <c:majorUnit val="1"/>
      </c:valAx>
      <c:valAx>
        <c:axId val="390618856"/>
        <c:scaling>
          <c:orientation val="minMax"/>
          <c:max val="2.6"/>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Data Quantiles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612976"/>
        <c:crossesAt val="-2.5"/>
        <c:crossBetween val="midCat"/>
        <c:majorUnit val="0.75000000000000011"/>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860223354433638"/>
          <c:y val="5.6410256410256411E-2"/>
          <c:w val="0.67871819944075618"/>
          <c:h val="0.77229073288915806"/>
        </c:manualLayout>
      </c:layout>
      <c:scatterChart>
        <c:scatterStyle val="smoothMarker"/>
        <c:varyColors val="0"/>
        <c:ser>
          <c:idx val="0"/>
          <c:order val="0"/>
          <c:tx>
            <c:v>Normal data quantiles</c:v>
          </c:tx>
          <c:spPr>
            <a:ln w="25400" cap="rnd">
              <a:noFill/>
              <a:round/>
            </a:ln>
            <a:effectLst/>
          </c:spPr>
          <c:marker>
            <c:symbol val="circle"/>
            <c:size val="6"/>
            <c:spPr>
              <a:solidFill>
                <a:schemeClr val="accent2"/>
              </a:solidFill>
              <a:ln w="9525">
                <a:solidFill>
                  <a:schemeClr val="accent2"/>
                </a:solidFill>
                <a:round/>
              </a:ln>
              <a:effectLst/>
            </c:spPr>
          </c:marker>
          <c:xVal>
            <c:numRef>
              <c:f>'Fig 2B (Censored data)'!$D$2:$D$23</c:f>
              <c:numCache>
                <c:formatCode>General</c:formatCode>
                <c:ptCount val="22"/>
                <c:pt idx="0">
                  <c:v>-2.0004235691059797</c:v>
                </c:pt>
                <c:pt idx="1">
                  <c:v>-1.4894700423279403</c:v>
                </c:pt>
                <c:pt idx="2">
                  <c:v>-1.2074140502222019</c:v>
                </c:pt>
                <c:pt idx="3">
                  <c:v>-0.99820117215288462</c:v>
                </c:pt>
                <c:pt idx="4">
                  <c:v>-0.82549449092923566</c:v>
                </c:pt>
                <c:pt idx="5">
                  <c:v>-0.67448975019608193</c:v>
                </c:pt>
                <c:pt idx="6">
                  <c:v>-0.53751910620277299</c:v>
                </c:pt>
                <c:pt idx="7">
                  <c:v>-0.40998332218733691</c:v>
                </c:pt>
                <c:pt idx="8">
                  <c:v>-0.28880935507446348</c:v>
                </c:pt>
                <c:pt idx="9">
                  <c:v>-0.17174708963751179</c:v>
                </c:pt>
                <c:pt idx="10">
                  <c:v>-5.6999674358374317E-2</c:v>
                </c:pt>
                <c:pt idx="11">
                  <c:v>5.6999674358374317E-2</c:v>
                </c:pt>
                <c:pt idx="12">
                  <c:v>0.17174708963751192</c:v>
                </c:pt>
                <c:pt idx="13">
                  <c:v>0.28880935507446348</c:v>
                </c:pt>
                <c:pt idx="14">
                  <c:v>0.4099833221873368</c:v>
                </c:pt>
                <c:pt idx="15">
                  <c:v>0.53751910620277321</c:v>
                </c:pt>
                <c:pt idx="16">
                  <c:v>0.67448975019608193</c:v>
                </c:pt>
                <c:pt idx="17">
                  <c:v>0.82549449092923566</c:v>
                </c:pt>
                <c:pt idx="18">
                  <c:v>0.99820117215288462</c:v>
                </c:pt>
                <c:pt idx="19">
                  <c:v>1.2074140502222019</c:v>
                </c:pt>
                <c:pt idx="20">
                  <c:v>1.4894700423279406</c:v>
                </c:pt>
                <c:pt idx="21">
                  <c:v>2.0004235691059802</c:v>
                </c:pt>
              </c:numCache>
            </c:numRef>
          </c:xVal>
          <c:yVal>
            <c:numRef>
              <c:f>'Fig 2B (Censored data)'!$F$2:$F$23</c:f>
              <c:numCache>
                <c:formatCode>General</c:formatCode>
                <c:ptCount val="22"/>
                <c:pt idx="0">
                  <c:v>-1.5443689284054838</c:v>
                </c:pt>
                <c:pt idx="1">
                  <c:v>-1.4678860572702401</c:v>
                </c:pt>
                <c:pt idx="2">
                  <c:v>-1.4206283482761071</c:v>
                </c:pt>
                <c:pt idx="3">
                  <c:v>-1.3929577160361202</c:v>
                </c:pt>
                <c:pt idx="4">
                  <c:v>-1.110344180011992</c:v>
                </c:pt>
                <c:pt idx="5">
                  <c:v>-1.0932443510996404</c:v>
                </c:pt>
                <c:pt idx="6">
                  <c:v>-0.99188900154643211</c:v>
                </c:pt>
                <c:pt idx="7">
                  <c:v>-0.54853707374620353</c:v>
                </c:pt>
                <c:pt idx="8">
                  <c:v>-0.26001632409780673</c:v>
                </c:pt>
                <c:pt idx="9">
                  <c:v>-8.4976257231377791E-2</c:v>
                </c:pt>
                <c:pt idx="10">
                  <c:v>4.3427912601367476E-2</c:v>
                </c:pt>
                <c:pt idx="11">
                  <c:v>8.7576561793255472E-2</c:v>
                </c:pt>
                <c:pt idx="12">
                  <c:v>0.3782736533032241</c:v>
                </c:pt>
                <c:pt idx="13">
                  <c:v>0.46315098590452958</c:v>
                </c:pt>
                <c:pt idx="14">
                  <c:v>0.53559207929685382</c:v>
                </c:pt>
                <c:pt idx="15">
                  <c:v>0.89313395655510275</c:v>
                </c:pt>
                <c:pt idx="16">
                  <c:v>0.92111549477531351</c:v>
                </c:pt>
                <c:pt idx="17">
                  <c:v>0.96712957984854953</c:v>
                </c:pt>
                <c:pt idx="18">
                  <c:v>1.2537848936155971</c:v>
                </c:pt>
                <c:pt idx="19">
                  <c:v>1.3815672514878943</c:v>
                </c:pt>
                <c:pt idx="20">
                  <c:v>1.4714190797727926</c:v>
                </c:pt>
                <c:pt idx="21">
                  <c:v>1.5186767887669268</c:v>
                </c:pt>
              </c:numCache>
            </c:numRef>
          </c:yVal>
          <c:smooth val="1"/>
        </c:ser>
        <c:ser>
          <c:idx val="1"/>
          <c:order val="1"/>
          <c:tx>
            <c:v>1:1 Line</c:v>
          </c:tx>
          <c:spPr>
            <a:ln w="28575" cap="rnd">
              <a:solidFill>
                <a:schemeClr val="accent1"/>
              </a:solidFill>
              <a:round/>
            </a:ln>
            <a:effectLst/>
          </c:spPr>
          <c:marker>
            <c:symbol val="none"/>
          </c:marker>
          <c:xVal>
            <c:numRef>
              <c:f>'Fig 2B (Censored data)'!$E$2:$E$23</c:f>
              <c:numCache>
                <c:formatCode>General</c:formatCode>
                <c:ptCount val="22"/>
                <c:pt idx="0">
                  <c:v>-2</c:v>
                </c:pt>
                <c:pt idx="1">
                  <c:v>-1.8094999999999999</c:v>
                </c:pt>
                <c:pt idx="2">
                  <c:v>-1.6189999999999998</c:v>
                </c:pt>
                <c:pt idx="3">
                  <c:v>-1.4284999999999997</c:v>
                </c:pt>
                <c:pt idx="4">
                  <c:v>-1.2379999999999995</c:v>
                </c:pt>
                <c:pt idx="5">
                  <c:v>-1.0474999999999994</c:v>
                </c:pt>
                <c:pt idx="6">
                  <c:v>-0.85699999999999943</c:v>
                </c:pt>
                <c:pt idx="7">
                  <c:v>-0.66649999999999943</c:v>
                </c:pt>
                <c:pt idx="8">
                  <c:v>-0.47599999999999942</c:v>
                </c:pt>
                <c:pt idx="9">
                  <c:v>-0.28549999999999942</c:v>
                </c:pt>
                <c:pt idx="10">
                  <c:v>-9.4999999999999418E-2</c:v>
                </c:pt>
                <c:pt idx="11">
                  <c:v>9.5500000000000584E-2</c:v>
                </c:pt>
                <c:pt idx="12">
                  <c:v>0.28600000000000059</c:v>
                </c:pt>
                <c:pt idx="13">
                  <c:v>0.47650000000000059</c:v>
                </c:pt>
                <c:pt idx="14">
                  <c:v>0.66700000000000059</c:v>
                </c:pt>
                <c:pt idx="15">
                  <c:v>0.8575000000000006</c:v>
                </c:pt>
                <c:pt idx="16">
                  <c:v>1.0480000000000005</c:v>
                </c:pt>
                <c:pt idx="17">
                  <c:v>1.2385000000000006</c:v>
                </c:pt>
                <c:pt idx="18">
                  <c:v>1.4290000000000007</c:v>
                </c:pt>
                <c:pt idx="19">
                  <c:v>1.6195000000000008</c:v>
                </c:pt>
                <c:pt idx="20">
                  <c:v>1.8100000000000009</c:v>
                </c:pt>
                <c:pt idx="21">
                  <c:v>2.0005000000000011</c:v>
                </c:pt>
              </c:numCache>
            </c:numRef>
          </c:xVal>
          <c:yVal>
            <c:numRef>
              <c:f>'Fig 2B (Censored data)'!$E$2:$E$23</c:f>
              <c:numCache>
                <c:formatCode>General</c:formatCode>
                <c:ptCount val="22"/>
                <c:pt idx="0">
                  <c:v>-2</c:v>
                </c:pt>
                <c:pt idx="1">
                  <c:v>-1.8094999999999999</c:v>
                </c:pt>
                <c:pt idx="2">
                  <c:v>-1.6189999999999998</c:v>
                </c:pt>
                <c:pt idx="3">
                  <c:v>-1.4284999999999997</c:v>
                </c:pt>
                <c:pt idx="4">
                  <c:v>-1.2379999999999995</c:v>
                </c:pt>
                <c:pt idx="5">
                  <c:v>-1.0474999999999994</c:v>
                </c:pt>
                <c:pt idx="6">
                  <c:v>-0.85699999999999943</c:v>
                </c:pt>
                <c:pt idx="7">
                  <c:v>-0.66649999999999943</c:v>
                </c:pt>
                <c:pt idx="8">
                  <c:v>-0.47599999999999942</c:v>
                </c:pt>
                <c:pt idx="9">
                  <c:v>-0.28549999999999942</c:v>
                </c:pt>
                <c:pt idx="10">
                  <c:v>-9.4999999999999418E-2</c:v>
                </c:pt>
                <c:pt idx="11">
                  <c:v>9.5500000000000584E-2</c:v>
                </c:pt>
                <c:pt idx="12">
                  <c:v>0.28600000000000059</c:v>
                </c:pt>
                <c:pt idx="13">
                  <c:v>0.47650000000000059</c:v>
                </c:pt>
                <c:pt idx="14">
                  <c:v>0.66700000000000059</c:v>
                </c:pt>
                <c:pt idx="15">
                  <c:v>0.8575000000000006</c:v>
                </c:pt>
                <c:pt idx="16">
                  <c:v>1.0480000000000005</c:v>
                </c:pt>
                <c:pt idx="17">
                  <c:v>1.2385000000000006</c:v>
                </c:pt>
                <c:pt idx="18">
                  <c:v>1.4290000000000007</c:v>
                </c:pt>
                <c:pt idx="19">
                  <c:v>1.6195000000000008</c:v>
                </c:pt>
                <c:pt idx="20">
                  <c:v>1.8100000000000009</c:v>
                </c:pt>
                <c:pt idx="21">
                  <c:v>2.0005000000000011</c:v>
                </c:pt>
              </c:numCache>
            </c:numRef>
          </c:yVal>
          <c:smooth val="1"/>
        </c:ser>
        <c:dLbls>
          <c:showLegendKey val="0"/>
          <c:showVal val="0"/>
          <c:showCatName val="0"/>
          <c:showSerName val="0"/>
          <c:showPercent val="0"/>
          <c:showBubbleSize val="0"/>
        </c:dLbls>
        <c:axId val="390615328"/>
        <c:axId val="390620816"/>
      </c:scatterChart>
      <c:valAx>
        <c:axId val="390615328"/>
        <c:scaling>
          <c:orientation val="minMax"/>
          <c:max val="2.25"/>
          <c:min val="-2.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Theoretical Quantiles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620816"/>
        <c:crossesAt val="-2.25"/>
        <c:crossBetween val="midCat"/>
        <c:majorUnit val="0.75000000000000011"/>
      </c:valAx>
      <c:valAx>
        <c:axId val="390620816"/>
        <c:scaling>
          <c:orientation val="minMax"/>
          <c:min val="-2.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a:t>Normal Data Quantiles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615328"/>
        <c:crossesAt val="-2.25"/>
        <c:crossBetween val="midCat"/>
        <c:majorUnit val="0.75000000000000011"/>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2185</TotalTime>
  <Pages>1</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Simpson</dc:creator>
  <cp:keywords/>
  <dc:description/>
  <cp:lastModifiedBy>Paul Simpson</cp:lastModifiedBy>
  <cp:revision>19</cp:revision>
  <cp:lastPrinted>2016-09-11T00:42:00Z</cp:lastPrinted>
  <dcterms:created xsi:type="dcterms:W3CDTF">2016-09-06T02:08:00Z</dcterms:created>
  <dcterms:modified xsi:type="dcterms:W3CDTF">2016-09-11T00:42:00Z</dcterms:modified>
</cp:coreProperties>
</file>