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Times New Roman" w:hAnsi="Times New Roman"/>
          <w:b/>
          <w:color w:val="0F172A"/>
          <w:sz w:val="40"/>
        </w:rPr>
        <w:t>Integrity-Assured Machine Learning for Aircraft Predictive Maintenance: Threat Modeling and Resilience Evaluation Using NASA C-MAPSS</w:t>
      </w:r>
    </w:p>
    <w:p>
      <w:pPr>
        <w:spacing w:after="40"/>
        <w:jc w:val="center"/>
      </w:pPr>
      <w:r>
        <w:rPr>
          <w:rFonts w:ascii="Times New Roman" w:hAnsi="Times New Roman"/>
          <w:b/>
          <w:sz w:val="21"/>
        </w:rPr>
        <w:t>[Author Names Placeholder: First Author¹, Second Author², Corresponding Author³*]</w:t>
      </w:r>
    </w:p>
    <w:p>
      <w:pPr>
        <w:spacing w:after="320"/>
        <w:jc w:val="center"/>
      </w:pPr>
      <w:r>
        <w:rPr>
          <w:rFonts w:ascii="Times New Roman" w:hAnsi="Times New Roman"/>
          <w:i/>
          <w:color w:val="475569"/>
          <w:sz w:val="18"/>
        </w:rPr>
        <w:t>¹˒²˒³ Department of Computer Science &amp; Cybersecurity Engineering</w:t>
        <w:br/>
        <w:t>[Institutional Affiliation Placeholder: University / Research Institute Name, City, Country]</w:t>
        <w:br/>
        <w:t>Email: [author1@institution.edu, author2@institution.edu, corresponding@institution.edu]</w:t>
      </w:r>
    </w:p>
    <w:tbl>
      <w:tblPr>
        <w:tblW w:type="auto" w:w="0"/>
        <w:jc w:val="center"/>
        <w:tblLook w:firstColumn="1" w:firstRow="1" w:lastColumn="0" w:lastRow="0" w:noHBand="0" w:noVBand="1" w:val="04A0"/>
      </w:tblPr>
      <w:tblGrid>
        <w:gridCol w:w="9749"/>
      </w:tblGrid>
      <w:tr>
        <w:tc>
          <w:tcPr>
            <w:tcW w:type="dxa" w:w="9749"/>
            <w:shd w:fill="F8FAFC"/>
            <w:tcMar>
              <w:top w:w="140" w:type="dxa"/>
              <w:bottom w:w="140" w:type="dxa"/>
              <w:left w:w="180" w:type="dxa"/>
              <w:right w:w="180" w:type="dxa"/>
            </w:tcMar>
          </w:tcPr>
          <w:p>
            <w:pPr>
              <w:spacing w:line="264" w:lineRule="auto" w:after="120"/>
              <w:jc w:val="both"/>
            </w:pPr>
            <w:r>
              <w:rPr>
                <w:rFonts w:ascii="Times New Roman" w:hAnsi="Times New Roman"/>
                <w:b/>
                <w:sz w:val="18"/>
              </w:rPr>
              <w:t xml:space="preserve">Abstract— </w:t>
            </w:r>
            <w:r>
              <w:rPr>
                <w:rFonts w:ascii="Times New Roman" w:hAnsi="Times New Roman"/>
                <w:sz w:val="18"/>
              </w:rPr>
              <w:t>Prognostics and Health Management (PHM) systems increasingly rely on gradient-boosted decision trees and ensemble regressors to predict the Remaining Useful Life (RUL) of aircraft turbofan engines from multi-channel telemetry. However, existing PHM architectures predominantly assume that model deployment pipelines are tamper-proof and that inflight or ground-transmitted sensor streams are authentic. In this study, we present AeroSentinel, a security-hardened prognostic pipeline that integrates cryptographic artifact authentication with multi-sensor statistical drift screening. Evaluating on the NASA C-MAPSS FD001 benchmark (100 run-to-failure training engines, 100 censored test engines), we first resolve an undocumented run-to-failure censoring asymmetry, demonstrating that screening operational test data against training baselines triggers an 8-channel false-positive alarm rate (&gt;57% of monitored sensors). By establishing an operational baseline, we evaluate the resilience of Kolmogorov-Smirnov and Population Stability Index (PSI) detectors under six synthetic sensor-manipulation scenarios targeting static High-Pressure Compressor pressure (s₁₁). Our empirical findings reveal severe blind spots: single-channel bias injections (±1σ to +2σ) and creeping ramps evade fleet-level drift alarms (≤1 PSI alert channel) while shifting RUL estimates by up to -12.1 cycles and degrading RMSE from 13.90 to 20.44. Furthermore, negative bias injection delays predicted engine retirement, elevating the Hazardous Prediction Rate (HPR, over-predicting RUL &gt;25 when true RUL ≤ 25) from 15.79% to 31.58%, and frozen sensor buffers surge NASA asymmetric penalty scores by over 2,600× with 100% HPR. To secure the pipeline against supply-chain attacks, we implement an Edwards-curve Digital Signature (Ed25519) verification scheme over RFC 8785 canonical JSON metadata; microbenchmarks (N=100) confirm that fail-closed artifact verification executes in 0.11 ± 0.01 ms, adding negligible overhead to deserialization (9.56 ms) and batch inference (1.47 ms). This research provides an empirical foundation for zero-trust predictive maintenance analytics in civil and defense aviation.</w:t>
            </w:r>
          </w:p>
          <w:p>
            <w:pPr>
              <w:spacing w:after="40"/>
              <w:jc w:val="left"/>
            </w:pPr>
            <w:r>
              <w:rPr>
                <w:rFonts w:ascii="Times New Roman" w:hAnsi="Times New Roman"/>
                <w:b/>
                <w:sz w:val="18"/>
              </w:rPr>
              <w:t xml:space="preserve">Keywords— </w:t>
            </w:r>
            <w:r>
              <w:rPr>
                <w:rFonts w:ascii="Times New Roman" w:hAnsi="Times New Roman"/>
                <w:i/>
                <w:sz w:val="18"/>
              </w:rPr>
              <w:t>Aircraft Predictive Maintenance, Prognostics and Health Management, Remaining Useful Life, Adversarial Machine Learning, Ed25519 Cryptographic Verification, Drift Detection, Sensor Spoofing, NASA C-MAPSS.</w:t>
            </w:r>
          </w:p>
        </w:tc>
      </w:tr>
    </w:tbl>
    <w:p>
      <w:pPr>
        <w:spacing w:before="280" w:after="80"/>
        <w:jc w:val="center"/>
      </w:pPr>
      <w:r>
        <w:rPr>
          <w:rFonts w:ascii="Times New Roman" w:hAnsi="Times New Roman"/>
          <w:b/>
          <w:sz w:val="22"/>
        </w:rPr>
        <w:t>I. INTRODUCTION</w:t>
      </w:r>
    </w:p>
    <w:p>
      <w:pPr>
        <w:spacing w:line="252" w:lineRule="auto" w:after="80"/>
        <w:jc w:val="both"/>
      </w:pPr>
      <w:r>
        <w:rPr>
          <w:rFonts w:ascii="Times New Roman" w:hAnsi="Times New Roman"/>
          <w:sz w:val="20"/>
        </w:rPr>
        <w:t>Predictive maintenance in modern commercial and military aviation relies extensively on data-driven Prognostics and Health Management (PHM) architectures. By continuously analyzing real-time flight telematics—including spool speeds, total temperatures, and static bleed pressures—machine learning algorithms forecast the Remaining Useful Life (RUL) of safety-critical turbofan components. Accurate RUL predictions enable airline operators to transition from rigid, calendar-based maintenance schedules to condition-based maintenance, minimizing unscheduled Aircraft on Ground (AOG) events and mitigating catastrophic inflight mechanical failures [1], [2].</w:t>
      </w:r>
    </w:p>
    <w:p>
      <w:pPr>
        <w:spacing w:line="252" w:lineRule="auto" w:after="80"/>
        <w:jc w:val="both"/>
      </w:pPr>
      <w:r>
        <w:rPr>
          <w:rFonts w:ascii="Times New Roman" w:hAnsi="Times New Roman"/>
          <w:sz w:val="20"/>
        </w:rPr>
        <w:t>Despite considerable algorithmic advances in deep neural networks and gradient-boosted decision tree ensembles [3], current aviation predictive maintenance models are engineered under the implicit assumption of an uncompromised operating environment. Telemetry streams are presumed to reflect true physical degradation, and persisted model artifacts are assumed to reside securely within trusted environments.</w:t>
      </w:r>
    </w:p>
    <w:p>
      <w:pPr>
        <w:spacing w:line="252" w:lineRule="auto" w:after="80"/>
        <w:jc w:val="both"/>
      </w:pPr>
      <w:r>
        <w:rPr>
          <w:rFonts w:ascii="Times New Roman" w:hAnsi="Times New Roman"/>
          <w:sz w:val="20"/>
        </w:rPr>
        <w:t>However, modern aviation data ecosystems are increasingly interconnected. Telemetry packets are routinely offloaded via Aircraft Communications Addressing and Reporting System (ACARS), Aeronautical Telecommunications Network (ATN), cellular ground-links (Gatelink), or portable data loaders during turnaround. This expanded attack surface exposes predictive analytics to both data-plane and control-plane threats [4], [5]:</w:t>
      </w:r>
    </w:p>
    <w:p>
      <w:pPr>
        <w:spacing w:line="252" w:lineRule="auto" w:after="80"/>
        <w:jc w:val="both"/>
      </w:pPr>
      <w:r>
        <w:rPr>
          <w:rFonts w:ascii="Times New Roman" w:hAnsi="Times New Roman"/>
          <w:sz w:val="20"/>
        </w:rPr>
        <w:t>1) Supply-Chain Model Tampering: Adversaries with access to ground-station storage or model repositories may modify serialized estimator weights, feature scaler parameters, or metadata manifests to deliberately suppress maintenance warnings or execute arbitrary code via deserialization gadgets [6].</w:t>
      </w:r>
    </w:p>
    <w:p>
      <w:pPr>
        <w:spacing w:line="252" w:lineRule="auto" w:after="80"/>
        <w:jc w:val="both"/>
      </w:pPr>
      <w:r>
        <w:rPr>
          <w:rFonts w:ascii="Times New Roman" w:hAnsi="Times New Roman"/>
          <w:sz w:val="20"/>
        </w:rPr>
        <w:t>2) Sensor Telemetry Manipulation: Compromised telematics gateways or Man-in-the-Middle (MitM) interceptors can inject subtle mathematical biases, frozen packet replays, or creeping calibration drifts into thermodynamic sensor streams, skewing RUL forecasts without triggering legacy threshold alarms [7], [8].</w:t>
      </w:r>
    </w:p>
    <w:p>
      <w:pPr>
        <w:spacing w:line="252" w:lineRule="auto" w:after="80"/>
        <w:jc w:val="both"/>
      </w:pPr>
      <w:r>
        <w:rPr>
          <w:rFonts w:ascii="Times New Roman" w:hAnsi="Times New Roman"/>
          <w:sz w:val="20"/>
        </w:rPr>
        <w:t>In aviation maintenance, prediction errors are fundamentally asymmetric. An early prediction (under-predicting RUL) prompts premature engine overhaul, incurring avoidable operational expense. Conversely, a delayed prediction (over-predicting RUL) is catastrophic: it allows an engine on the verge of mechanical breakdown to continue operating, risking uncontained turbine blade failure [2]. Despite this criticality, existing literature lacks systematic evaluations of how lightweight integrity controls perform under adversarial data manipulation and what proportion of hazardous predictions can escape statistical detection.</w:t>
      </w:r>
    </w:p>
    <w:p>
      <w:pPr>
        <w:spacing w:line="252" w:lineRule="auto" w:after="80"/>
        <w:jc w:val="both"/>
      </w:pPr>
      <w:r>
        <w:rPr>
          <w:rFonts w:ascii="Times New Roman" w:hAnsi="Times New Roman"/>
          <w:sz w:val="20"/>
        </w:rPr>
        <w:t>To address this gap, we introduce AeroSentinel, an integrity-assured predictive maintenance framework built on the NASA C-MAPSS turbofan benchmark. Our research makes five explicit contributions: (1) Dual-protocol baseline disambiguation between raw unclipped and clipped ground-truth; (2) Discovery and resolution of the run-to-failure censoring asymmetry in drift screening; (3) Systematic empirical resilience profiling across six synthetic sensor manipulation scenarios; (4) Sub-millisecond Ed25519 cryptographic artifact authentication; and (5) A fully reproducible open-source research suite.</w:t>
      </w:r>
    </w:p>
    <w:p>
      <w:pPr>
        <w:spacing w:before="280" w:after="80"/>
        <w:jc w:val="center"/>
      </w:pPr>
      <w:r>
        <w:rPr>
          <w:rFonts w:ascii="Times New Roman" w:hAnsi="Times New Roman"/>
          <w:b/>
          <w:sz w:val="22"/>
        </w:rPr>
        <w:t>II. RELATED WORK &amp; RESEARCH GAP</w:t>
      </w:r>
    </w:p>
    <w:p>
      <w:pPr>
        <w:spacing w:before="160" w:after="60"/>
        <w:jc w:val="left"/>
      </w:pPr>
      <w:r>
        <w:rPr>
          <w:rFonts w:ascii="Times New Roman" w:hAnsi="Times New Roman"/>
          <w:b/>
          <w:i/>
          <w:sz w:val="20"/>
        </w:rPr>
        <w:t>A. Aircraft Prognostics &amp; The NASA C-MAPSS Benchmark</w:t>
      </w:r>
    </w:p>
    <w:p>
      <w:pPr>
        <w:spacing w:line="252" w:lineRule="auto" w:after="80"/>
        <w:jc w:val="both"/>
      </w:pPr>
      <w:r>
        <w:rPr>
          <w:rFonts w:ascii="Times New Roman" w:hAnsi="Times New Roman"/>
          <w:sz w:val="20"/>
        </w:rPr>
        <w:t>The NASA Commercial Modular Aero-Propulsion System Simulation (C-MAPSS) dataset, released by Saxena et al. [1], represents the foundational benchmark for turbofan health prognostics. The FD001 sub-dataset captures high-pressure compressor degradation under steady-state sea-level conditions across 100 training and 100 test trajectories. Early landmark research by Heimes [2] established recurrent neural network architectures for RUL regression and introduced the piecewise-linear degradation model (capping RUL at 125 cycles) to reflect that un-degraded turbofans exhibit no measurable wear during initial operating cycles. Subsequent studies demonstrated that gradient-boosted decision trees (e.g., LightGBM, HistGradientBoosting) and deep convolution-LSTM models achieve state-of-the-art accuracy while maintaining high computational efficiency [3], [9]. However, existing C-MAPSS prognostics literature focuses almost exclusively on minimizing scalar regression metrics (RMSE, NASA asymmetric score) on clean datasets, without considering input integrity or model security.</w:t>
      </w:r>
    </w:p>
    <w:p>
      <w:pPr>
        <w:spacing w:before="160" w:after="60"/>
        <w:jc w:val="left"/>
      </w:pPr>
      <w:r>
        <w:rPr>
          <w:rFonts w:ascii="Times New Roman" w:hAnsi="Times New Roman"/>
          <w:b/>
          <w:i/>
          <w:sz w:val="20"/>
        </w:rPr>
        <w:t>B. Machine Learning Integrity &amp; Supply-Chain Security</w:t>
      </w:r>
    </w:p>
    <w:p>
      <w:pPr>
        <w:spacing w:line="252" w:lineRule="auto" w:after="80"/>
        <w:jc w:val="both"/>
      </w:pPr>
      <w:r>
        <w:rPr>
          <w:rFonts w:ascii="Times New Roman" w:hAnsi="Times New Roman"/>
          <w:sz w:val="20"/>
        </w:rPr>
        <w:t>The security of serialized machine learning artifacts has emerged as an urgent priority in applied artificial intelligence [5], [6]. Traditional Python model persistence mechanisms (e.g., pickle, joblib) deserialize arbitrary object state, making them susceptible to remote code execution (RCE) via malicious deserialization payloads. While cryptographic signing is standardized in binary distribution (e.g., Sigstore, TUF), its integration into predictive maintenance pipelines remains sparse. Previous implementations often rely on unauthenticated SHA-256 digests; however, as noted in NIST SP 800-57 [10], an unkeyed cryptographic hash provides integrity only against random transmission corruption, failing completely against an active attacker capable of rewriting both the artifact and its declared checksum.</w:t>
      </w:r>
    </w:p>
    <w:p>
      <w:pPr>
        <w:spacing w:before="160" w:after="60"/>
        <w:jc w:val="left"/>
      </w:pPr>
      <w:r>
        <w:rPr>
          <w:rFonts w:ascii="Times New Roman" w:hAnsi="Times New Roman"/>
          <w:b/>
          <w:i/>
          <w:sz w:val="20"/>
        </w:rPr>
        <w:t>C. Sensor Telemetry Attacks &amp; Adversarial Robustness</w:t>
      </w:r>
    </w:p>
    <w:p>
      <w:pPr>
        <w:spacing w:line="252" w:lineRule="auto" w:after="80"/>
        <w:jc w:val="both"/>
      </w:pPr>
      <w:r>
        <w:rPr>
          <w:rFonts w:ascii="Times New Roman" w:hAnsi="Times New Roman"/>
          <w:sz w:val="20"/>
        </w:rPr>
        <w:t>Adversarial machine learning research has expanded from computer vision into cyber-physical time-series systems [4], [7]. In cyber-physical architectures, attackers can execute false data injection (FDI) attacks by spoofing sensor channels, offsetting temperature readings, or replaying historical telemetry packets [8]. While deep autoencoders and statistical change-point algorithms have been explored for anomaly detection, empirical evaluations demonstrate that adversaries who constrain perturbations within natural process variances can bias regressor outputs without violating physical bounds [7].</w:t>
      </w:r>
    </w:p>
    <w:p>
      <w:pPr>
        <w:spacing w:before="160" w:after="60"/>
        <w:jc w:val="left"/>
      </w:pPr>
      <w:r>
        <w:rPr>
          <w:rFonts w:ascii="Times New Roman" w:hAnsi="Times New Roman"/>
          <w:b/>
          <w:i/>
          <w:sz w:val="20"/>
        </w:rPr>
        <w:t>D. The Research Gap</w:t>
      </w:r>
    </w:p>
    <w:p>
      <w:pPr>
        <w:spacing w:line="252" w:lineRule="auto" w:after="80"/>
        <w:jc w:val="both"/>
      </w:pPr>
      <w:r>
        <w:rPr>
          <w:rFonts w:ascii="Times New Roman" w:hAnsi="Times New Roman"/>
          <w:sz w:val="20"/>
        </w:rPr>
        <w:t>Prior work exhibits three fundamental shortcomings: (1) Conflated Evaluation Baselines: Benchmark studies routinely publish RMSE comparisons without clarifying whether targets are evaluated on raw physical cycles or piecewise-clipped values, hindering reproducibility. (2) Ignored Censoring Asymmetry in Drift Screening: Standard statistical monitors (KS test, PSI) are commonly applied between training data and live operational data without accounting for survival censoring, leading to unmanageable false-alarm rates. (3) Absence of Unified Security and Prognostic Benchmarking: No existing study jointly quantifies the latency of asymmetric cryptographic verification alongside the stealthiness and late-stage operational risk (HPR, NASA asymmetric score) of sensor-manipulation attacks on standard aviation benchmarks.</w:t>
      </w:r>
    </w:p>
    <w:p>
      <w:pPr>
        <w:spacing w:before="280" w:after="80"/>
        <w:jc w:val="center"/>
      </w:pPr>
      <w:r>
        <w:rPr>
          <w:rFonts w:ascii="Times New Roman" w:hAnsi="Times New Roman"/>
          <w:b/>
          <w:sz w:val="22"/>
        </w:rPr>
        <w:t>III. SYSTEM ARCHITECTURE &amp; THREAT MODEL</w:t>
      </w:r>
    </w:p>
    <w:p>
      <w:pPr>
        <w:spacing w:before="160" w:after="60"/>
        <w:jc w:val="left"/>
      </w:pPr>
      <w:r>
        <w:rPr>
          <w:rFonts w:ascii="Times New Roman" w:hAnsi="Times New Roman"/>
          <w:b/>
          <w:i/>
          <w:sz w:val="20"/>
        </w:rPr>
        <w:t>A. Architectural Overview</w:t>
      </w:r>
    </w:p>
    <w:p>
      <w:pPr>
        <w:spacing w:line="252" w:lineRule="auto" w:after="80"/>
        <w:jc w:val="both"/>
      </w:pPr>
      <w:r>
        <w:rPr>
          <w:rFonts w:ascii="Times New Roman" w:hAnsi="Times New Roman"/>
          <w:sz w:val="20"/>
        </w:rPr>
        <w:t>AeroSentinel operates as a secure ground-side analytics service receiving aircraft engine telemetry packets post-flight or via satellite datalinks. The architecture consists of four modular layers: (1) Cryptographic Ingestion &amp; Lineage Verifier; (2) Input Validation &amp; API Hardening Layer; (3) Dual-Baseline Anomaly &amp; Drift Detector; and (4) HistGradientBoosting RUL Regressor.</w:t>
      </w:r>
    </w:p>
    <w:p>
      <w:pPr>
        <w:spacing w:before="160" w:after="60"/>
        <w:jc w:val="left"/>
      </w:pPr>
      <w:r>
        <w:rPr>
          <w:rFonts w:ascii="Times New Roman" w:hAnsi="Times New Roman"/>
          <w:b/>
          <w:i/>
          <w:sz w:val="20"/>
        </w:rPr>
        <w:t>B. Threat Model &amp; STRIDE Classification</w:t>
      </w:r>
    </w:p>
    <w:p>
      <w:pPr>
        <w:spacing w:line="252" w:lineRule="auto" w:after="80"/>
        <w:jc w:val="both"/>
      </w:pPr>
      <w:r>
        <w:rPr>
          <w:rFonts w:ascii="Times New Roman" w:hAnsi="Times New Roman"/>
          <w:sz w:val="20"/>
        </w:rPr>
        <w:t>We formulate the threat environment using the STRIDE methodology. We define two distinct threat actors: Adversary A_art operates on the model supply chain with write access to storage or network caches, capable of modifying model weights or manifests but lacking the offline Ed25519 private key. Adversary A_sen intercepts telematics in transit, injecting additive biases (delta in [-2sigma, +2sigma]), ramps, or frozen buffers into sensor streams without modifying true labels.</w:t>
      </w:r>
    </w:p>
    <w:p>
      <w:pPr>
        <w:spacing w:line="252" w:lineRule="auto" w:after="80"/>
        <w:jc w:val="both"/>
      </w:pPr>
      <w:r>
        <w:rPr>
          <w:rFonts w:ascii="Times New Roman" w:hAnsi="Times New Roman"/>
          <w:sz w:val="20"/>
        </w:rPr>
        <w:t>The system enforces three core security invariants: (1) Fail-Closed Execution upon signature mismatch or byte tampering; (2) Dual Protocol Separation between raw unclipped and clipped metrics; and (3) Offline Label Isolation ensuring true RUL is never exposed online.</w:t>
      </w:r>
    </w:p>
    <w:p>
      <w:pPr>
        <w:spacing w:before="160" w:after="60"/>
        <w:jc w:val="left"/>
      </w:pPr>
      <w:r>
        <w:rPr>
          <w:rFonts w:ascii="Times New Roman" w:hAnsi="Times New Roman"/>
          <w:b/>
          <w:i/>
          <w:sz w:val="20"/>
        </w:rPr>
        <w:t>C. Cryptographic Authentication Specification</w:t>
      </w:r>
    </w:p>
    <w:p>
      <w:pPr>
        <w:spacing w:line="252" w:lineRule="auto" w:after="80"/>
        <w:jc w:val="both"/>
      </w:pPr>
      <w:r>
        <w:rPr>
          <w:rFonts w:ascii="Times New Roman" w:hAnsi="Times New Roman"/>
          <w:sz w:val="20"/>
        </w:rPr>
        <w:t>AeroSentinel adopts the Edwards-curve Digital Signature Algorithm over Curve25519 (Ed25519, RFC 8032) [11], providing 128-bit security with high side-channel resistance. To eliminate serialization ambiguity, the engine enforces RFC 8785 JSON Canonicalization Scheme (JCS) [12]. At initialization, the runtime verifies the Ed25519 signature over the canonical manifest JSON, computes SHA-256 digests of all serialized dependencies (model.joblib, preprocessor.joblib, model_registry.json), and invokes joblib.load if and only if both checks succeed.</w:t>
      </w:r>
    </w:p>
    <w:p>
      <w:pPr>
        <w:spacing w:before="280" w:after="80"/>
        <w:jc w:val="center"/>
      </w:pPr>
      <w:r>
        <w:rPr>
          <w:rFonts w:ascii="Times New Roman" w:hAnsi="Times New Roman"/>
          <w:b/>
          <w:sz w:val="22"/>
        </w:rPr>
        <w:t>IV. EXPERIMENTAL METHODOLOGY</w:t>
      </w:r>
    </w:p>
    <w:p>
      <w:pPr>
        <w:spacing w:before="160" w:after="60"/>
        <w:jc w:val="left"/>
      </w:pPr>
      <w:r>
        <w:rPr>
          <w:rFonts w:ascii="Times New Roman" w:hAnsi="Times New Roman"/>
          <w:b/>
          <w:i/>
          <w:sz w:val="20"/>
        </w:rPr>
        <w:t>A. Dataset &amp; Preprocessing Pipeline</w:t>
      </w:r>
    </w:p>
    <w:p>
      <w:pPr>
        <w:spacing w:line="252" w:lineRule="auto" w:after="80"/>
        <w:jc w:val="both"/>
      </w:pPr>
      <w:r>
        <w:rPr>
          <w:rFonts w:ascii="Times New Roman" w:hAnsi="Times New Roman"/>
          <w:sz w:val="20"/>
        </w:rPr>
        <w:t>We evaluate our methodology on NASA C-MAPSS FD001 (100 training engines, 20,631 cycles; 100 test engines, 13,096 cycles; 100 ground-truth terminal RUL values). Seven zero-variance sensors are pruned, retaining 14 active degradation channels: s2, s3, s4, s7, s8, s9, s11, s12, s13, s14, s15, s17, s20, s21. Features include 5-cycle rate-of-change lags, 10-cycle rolling means and standard deviations, RobustScaler normalization, and polynomial interaction terms.</w:t>
      </w:r>
    </w:p>
    <w:p>
      <w:pPr>
        <w:spacing w:before="160" w:after="60"/>
        <w:jc w:val="left"/>
      </w:pPr>
      <w:r>
        <w:rPr>
          <w:rFonts w:ascii="Times New Roman" w:hAnsi="Times New Roman"/>
          <w:b/>
          <w:i/>
          <w:sz w:val="20"/>
        </w:rPr>
        <w:t>B. Mathematical Evaluation Metrics</w:t>
      </w:r>
    </w:p>
    <w:p>
      <w:pPr>
        <w:spacing w:line="252" w:lineRule="auto" w:after="80"/>
        <w:jc w:val="both"/>
      </w:pPr>
      <w:r>
        <w:rPr>
          <w:rFonts w:ascii="Times New Roman" w:hAnsi="Times New Roman"/>
          <w:sz w:val="20"/>
        </w:rPr>
        <w:t>Model accuracy and prediction risk are evaluated via Root Mean Squared Error (RMSE), Mean Absolute Error (MAE), Coefficient of Determination (R²), and the NASA Asymmetric Penalty Score (S_NASA), which penalizes late (hazardous) predictions exponentially more heavily than early predictions [1], [2].</w:t>
      </w:r>
    </w:p>
    <w:p>
      <w:pPr>
        <w:spacing w:before="160" w:after="60"/>
        <w:jc w:val="left"/>
      </w:pPr>
      <w:r>
        <w:rPr>
          <w:rFonts w:ascii="Times New Roman" w:hAnsi="Times New Roman"/>
          <w:b/>
          <w:i/>
          <w:sz w:val="20"/>
        </w:rPr>
        <w:t>C. Canonical Hazardous Prediction Rate (HPR)</w:t>
      </w:r>
    </w:p>
    <w:p>
      <w:pPr>
        <w:spacing w:line="252" w:lineRule="auto" w:after="80"/>
        <w:jc w:val="both"/>
      </w:pPr>
      <w:r>
        <w:rPr>
          <w:rFonts w:ascii="Times New Roman" w:hAnsi="Times New Roman"/>
          <w:sz w:val="20"/>
        </w:rPr>
        <w:t>To isolate late-stage catastrophic risk, we define the Canonical Hazardous Prediction Rate over the critical subset of test engines whose true remaining life is within 25 cycles (C_25 = {i : y*_i &lt;= 25}, |C_25| = 19 engines in FD001):</w:t>
      </w:r>
    </w:p>
    <w:p>
      <w:pPr>
        <w:spacing w:line="252" w:lineRule="auto" w:after="80"/>
        <w:jc w:val="both"/>
      </w:pPr>
      <w:r>
        <w:rPr>
          <w:rFonts w:ascii="Times New Roman" w:hAnsi="Times New Roman"/>
          <w:sz w:val="20"/>
        </w:rPr>
        <w:t>HPR = (|{i in C_25 : y_hat_i &gt; 25}| / |C_25|) * 100%. Under clean conditions, 3 of 19 engines exceed 25 cycles, yielding HPR_clean = 15.79%. An attack that elevates HPR delays mandatory depot inspection for engines near structural failure.</w:t>
      </w:r>
    </w:p>
    <w:p>
      <w:pPr>
        <w:spacing w:before="160" w:after="60"/>
        <w:jc w:val="left"/>
      </w:pPr>
      <w:r>
        <w:rPr>
          <w:rFonts w:ascii="Times New Roman" w:hAnsi="Times New Roman"/>
          <w:b/>
          <w:i/>
          <w:sz w:val="20"/>
        </w:rPr>
        <w:t>D. Drift Detection &amp; Censoring Asymmetry Resolution</w:t>
      </w:r>
    </w:p>
    <w:p>
      <w:pPr>
        <w:spacing w:line="252" w:lineRule="auto" w:after="80"/>
        <w:jc w:val="both"/>
      </w:pPr>
      <w:r>
        <w:rPr>
          <w:rFonts w:ascii="Times New Roman" w:hAnsi="Times New Roman"/>
          <w:sz w:val="20"/>
        </w:rPr>
        <w:t>Drift is monitored per sensor using the Two-Sample Kolmogorov-Smirnov (KS) test and Population Stability Index (PSI) across 10 quantile bins. We discover that comparing test data directly to training data produces 8 false-positive PSI alert channels on clean data because training engines run to complete failure (100% dead) while test engines are censored. AeroSentinel resolves this via a Dual-Baseline Architecture: model calibration is derived from training data, while operational drift monitoring utilizes an operational test baseline.</w:t>
      </w:r>
    </w:p>
    <w:p>
      <w:pPr>
        <w:spacing w:before="160" w:after="60"/>
        <w:jc w:val="left"/>
      </w:pPr>
      <w:r>
        <w:rPr>
          <w:rFonts w:ascii="Times New Roman" w:hAnsi="Times New Roman"/>
          <w:b/>
          <w:i/>
          <w:sz w:val="20"/>
        </w:rPr>
        <w:t>E. Synthetic Attack Scenarios</w:t>
      </w:r>
    </w:p>
    <w:p>
      <w:pPr>
        <w:spacing w:line="252" w:lineRule="auto" w:after="80"/>
        <w:jc w:val="both"/>
      </w:pPr>
      <w:r>
        <w:rPr>
          <w:rFonts w:ascii="Times New Roman" w:hAnsi="Times New Roman"/>
          <w:sz w:val="20"/>
        </w:rPr>
        <w:t>Six deterministic attack scenarios target sensor s11 (HPC static pressure, highest Gini importance): sc1 (Step Bias +1.0σ), sc2 (Step Bias +2.0σ), sc3 (Negative Bias -1.0σ), sc4 (Creeping Linear Ramp +1.5σ), sc5 (Multi-sensor Bias s11 +1.5σ, s4 +1.0σ), and sc6 (Frozen Buffer Replay at cycle 20).</w:t>
      </w:r>
    </w:p>
    <w:p>
      <w:pPr>
        <w:spacing w:before="280" w:after="80"/>
        <w:jc w:val="center"/>
      </w:pPr>
      <w:r>
        <w:rPr>
          <w:rFonts w:ascii="Times New Roman" w:hAnsi="Times New Roman"/>
          <w:b/>
          <w:sz w:val="22"/>
        </w:rPr>
        <w:t>V. EXPERIMENTAL RESULTS &amp; ANALYSIS</w:t>
      </w:r>
    </w:p>
    <w:p>
      <w:pPr>
        <w:spacing w:before="160" w:after="60"/>
        <w:jc w:val="left"/>
      </w:pPr>
      <w:r>
        <w:rPr>
          <w:rFonts w:ascii="Times New Roman" w:hAnsi="Times New Roman"/>
          <w:b/>
          <w:i/>
          <w:sz w:val="20"/>
        </w:rPr>
        <w:t>A. Clean Baseline Model Performance &amp; Dual Protocol Separation</w:t>
      </w:r>
    </w:p>
    <w:p>
      <w:pPr>
        <w:spacing w:line="252" w:lineRule="auto" w:after="80"/>
        <w:jc w:val="both"/>
      </w:pPr>
      <w:r>
        <w:rPr>
          <w:rFonts w:ascii="Times New Roman" w:hAnsi="Times New Roman"/>
          <w:sz w:val="20"/>
        </w:rPr>
        <w:t>Table I details performance across both evaluation protocols on the 100 unseen test engines.</w:t>
      </w:r>
    </w:p>
    <w:tbl>
      <w:tblPr>
        <w:tblW w:type="auto" w:w="0"/>
        <w:jc w:val="center"/>
        <w:tblLook w:firstColumn="1" w:firstRow="1" w:lastColumn="0" w:lastRow="0" w:noHBand="0" w:noVBand="1" w:val="04A0"/>
      </w:tblPr>
      <w:tblGrid>
        <w:gridCol w:w="1625"/>
        <w:gridCol w:w="1625"/>
        <w:gridCol w:w="1625"/>
        <w:gridCol w:w="1625"/>
        <w:gridCol w:w="1625"/>
        <w:gridCol w:w="1625"/>
      </w:tblGrid>
      <w:tr>
        <w:tc>
          <w:tcPr>
            <w:tcW w:type="dxa" w:w="1625"/>
            <w:shd w:fill="1E293B"/>
            <w:tcMar>
              <w:top w:w="80" w:type="dxa"/>
              <w:bottom w:w="80" w:type="dxa"/>
              <w:left w:w="100" w:type="dxa"/>
              <w:right w:w="100" w:type="dxa"/>
            </w:tcMar>
          </w:tcPr>
          <w:p>
            <w:pPr>
              <w:jc w:val="center"/>
            </w:pPr>
            <w:r>
              <w:rPr>
                <w:rFonts w:ascii="Times New Roman" w:hAnsi="Times New Roman"/>
                <w:b/>
                <w:color w:val="FFFFFF"/>
                <w:sz w:val="17"/>
              </w:rPr>
              <w:t>Protocol</w:t>
            </w:r>
          </w:p>
        </w:tc>
        <w:tc>
          <w:tcPr>
            <w:tcW w:type="dxa" w:w="1625"/>
            <w:shd w:fill="1E293B"/>
            <w:tcMar>
              <w:top w:w="80" w:type="dxa"/>
              <w:bottom w:w="80" w:type="dxa"/>
              <w:left w:w="100" w:type="dxa"/>
              <w:right w:w="100" w:type="dxa"/>
            </w:tcMar>
          </w:tcPr>
          <w:p>
            <w:pPr>
              <w:jc w:val="center"/>
            </w:pPr>
            <w:r>
              <w:rPr>
                <w:rFonts w:ascii="Times New Roman" w:hAnsi="Times New Roman"/>
                <w:b/>
                <w:color w:val="FFFFFF"/>
                <w:sz w:val="17"/>
              </w:rPr>
              <w:t>Target Policy</w:t>
            </w:r>
          </w:p>
        </w:tc>
        <w:tc>
          <w:tcPr>
            <w:tcW w:type="dxa" w:w="1625"/>
            <w:shd w:fill="1E293B"/>
            <w:tcMar>
              <w:top w:w="80" w:type="dxa"/>
              <w:bottom w:w="80" w:type="dxa"/>
              <w:left w:w="100" w:type="dxa"/>
              <w:right w:w="100" w:type="dxa"/>
            </w:tcMar>
          </w:tcPr>
          <w:p>
            <w:pPr>
              <w:jc w:val="center"/>
            </w:pPr>
            <w:r>
              <w:rPr>
                <w:rFonts w:ascii="Times New Roman" w:hAnsi="Times New Roman"/>
                <w:b/>
                <w:color w:val="FFFFFF"/>
                <w:sz w:val="17"/>
              </w:rPr>
              <w:t>RMSE</w:t>
            </w:r>
          </w:p>
        </w:tc>
        <w:tc>
          <w:tcPr>
            <w:tcW w:type="dxa" w:w="1625"/>
            <w:shd w:fill="1E293B"/>
            <w:tcMar>
              <w:top w:w="80" w:type="dxa"/>
              <w:bottom w:w="80" w:type="dxa"/>
              <w:left w:w="100" w:type="dxa"/>
              <w:right w:w="100" w:type="dxa"/>
            </w:tcMar>
          </w:tcPr>
          <w:p>
            <w:pPr>
              <w:jc w:val="center"/>
            </w:pPr>
            <w:r>
              <w:rPr>
                <w:rFonts w:ascii="Times New Roman" w:hAnsi="Times New Roman"/>
                <w:b/>
                <w:color w:val="FFFFFF"/>
                <w:sz w:val="17"/>
              </w:rPr>
              <w:t>MAE</w:t>
            </w:r>
          </w:p>
        </w:tc>
        <w:tc>
          <w:tcPr>
            <w:tcW w:type="dxa" w:w="1625"/>
            <w:shd w:fill="1E293B"/>
            <w:tcMar>
              <w:top w:w="80" w:type="dxa"/>
              <w:bottom w:w="80" w:type="dxa"/>
              <w:left w:w="100" w:type="dxa"/>
              <w:right w:w="100" w:type="dxa"/>
            </w:tcMar>
          </w:tcPr>
          <w:p>
            <w:pPr>
              <w:jc w:val="center"/>
            </w:pPr>
            <w:r>
              <w:rPr>
                <w:rFonts w:ascii="Times New Roman" w:hAnsi="Times New Roman"/>
                <w:b/>
                <w:color w:val="FFFFFF"/>
                <w:sz w:val="17"/>
              </w:rPr>
              <w:t>R²</w:t>
            </w:r>
          </w:p>
        </w:tc>
        <w:tc>
          <w:tcPr>
            <w:tcW w:type="dxa" w:w="1625"/>
            <w:shd w:fill="1E293B"/>
            <w:tcMar>
              <w:top w:w="80" w:type="dxa"/>
              <w:bottom w:w="80" w:type="dxa"/>
              <w:left w:w="100" w:type="dxa"/>
              <w:right w:w="100" w:type="dxa"/>
            </w:tcMar>
          </w:tcPr>
          <w:p>
            <w:pPr>
              <w:jc w:val="center"/>
            </w:pPr>
            <w:r>
              <w:rPr>
                <w:rFonts w:ascii="Times New Roman" w:hAnsi="Times New Roman"/>
                <w:b/>
                <w:color w:val="FFFFFF"/>
                <w:sz w:val="17"/>
              </w:rPr>
              <w:t>NASA Score</w:t>
            </w:r>
          </w:p>
        </w:tc>
      </w:tr>
      <w:tr>
        <w:tc>
          <w:tcPr>
            <w:tcW w:type="dxa" w:w="1625"/>
            <w:shd w:fill="F8FAFC"/>
            <w:tcMar>
              <w:top w:w="60" w:type="dxa"/>
              <w:bottom w:w="60" w:type="dxa"/>
              <w:left w:w="100" w:type="dxa"/>
              <w:right w:w="100" w:type="dxa"/>
            </w:tcMar>
          </w:tcPr>
          <w:p>
            <w:pPr>
              <w:jc w:val="center"/>
            </w:pPr>
            <w:r>
              <w:rPr>
                <w:rFonts w:ascii="Times New Roman" w:hAnsi="Times New Roman"/>
                <w:sz w:val="17"/>
              </w:rPr>
              <w:t>Protocol A</w:t>
            </w:r>
          </w:p>
        </w:tc>
        <w:tc>
          <w:tcPr>
            <w:tcW w:type="dxa" w:w="1625"/>
            <w:shd w:fill="F8FAFC"/>
            <w:tcMar>
              <w:top w:w="60" w:type="dxa"/>
              <w:bottom w:w="60" w:type="dxa"/>
              <w:left w:w="100" w:type="dxa"/>
              <w:right w:w="100" w:type="dxa"/>
            </w:tcMar>
          </w:tcPr>
          <w:p>
            <w:pPr>
              <w:jc w:val="center"/>
            </w:pPr>
            <w:r>
              <w:rPr>
                <w:rFonts w:ascii="Times New Roman" w:hAnsi="Times New Roman"/>
                <w:sz w:val="17"/>
              </w:rPr>
              <w:t>Raw Unclipped</w:t>
            </w:r>
          </w:p>
        </w:tc>
        <w:tc>
          <w:tcPr>
            <w:tcW w:type="dxa" w:w="1625"/>
            <w:shd w:fill="F8FAFC"/>
            <w:tcMar>
              <w:top w:w="60" w:type="dxa"/>
              <w:bottom w:w="60" w:type="dxa"/>
              <w:left w:w="100" w:type="dxa"/>
              <w:right w:w="100" w:type="dxa"/>
            </w:tcMar>
          </w:tcPr>
          <w:p>
            <w:pPr>
              <w:jc w:val="center"/>
            </w:pPr>
            <w:r>
              <w:rPr>
                <w:rFonts w:ascii="Times New Roman" w:hAnsi="Times New Roman"/>
                <w:sz w:val="17"/>
              </w:rPr>
              <w:t>13.9044</w:t>
            </w:r>
          </w:p>
        </w:tc>
        <w:tc>
          <w:tcPr>
            <w:tcW w:type="dxa" w:w="1625"/>
            <w:shd w:fill="F8FAFC"/>
            <w:tcMar>
              <w:top w:w="60" w:type="dxa"/>
              <w:bottom w:w="60" w:type="dxa"/>
              <w:left w:w="100" w:type="dxa"/>
              <w:right w:w="100" w:type="dxa"/>
            </w:tcMar>
          </w:tcPr>
          <w:p>
            <w:pPr>
              <w:jc w:val="center"/>
            </w:pPr>
            <w:r>
              <w:rPr>
                <w:rFonts w:ascii="Times New Roman" w:hAnsi="Times New Roman"/>
                <w:sz w:val="17"/>
              </w:rPr>
              <w:t>10.4044</w:t>
            </w:r>
          </w:p>
        </w:tc>
        <w:tc>
          <w:tcPr>
            <w:tcW w:type="dxa" w:w="1625"/>
            <w:shd w:fill="F8FAFC"/>
            <w:tcMar>
              <w:top w:w="60" w:type="dxa"/>
              <w:bottom w:w="60" w:type="dxa"/>
              <w:left w:w="100" w:type="dxa"/>
              <w:right w:w="100" w:type="dxa"/>
            </w:tcMar>
          </w:tcPr>
          <w:p>
            <w:pPr>
              <w:jc w:val="center"/>
            </w:pPr>
            <w:r>
              <w:rPr>
                <w:rFonts w:ascii="Times New Roman" w:hAnsi="Times New Roman"/>
                <w:sz w:val="17"/>
              </w:rPr>
              <w:t>0.8880</w:t>
            </w:r>
          </w:p>
        </w:tc>
        <w:tc>
          <w:tcPr>
            <w:tcW w:type="dxa" w:w="1625"/>
            <w:shd w:fill="F8FAFC"/>
            <w:tcMar>
              <w:top w:w="60" w:type="dxa"/>
              <w:bottom w:w="60" w:type="dxa"/>
              <w:left w:w="100" w:type="dxa"/>
              <w:right w:w="100" w:type="dxa"/>
            </w:tcMar>
          </w:tcPr>
          <w:p>
            <w:pPr>
              <w:jc w:val="center"/>
            </w:pPr>
            <w:r>
              <w:rPr>
                <w:rFonts w:ascii="Times New Roman" w:hAnsi="Times New Roman"/>
                <w:sz w:val="17"/>
              </w:rPr>
              <w:t>301.97</w:t>
            </w:r>
          </w:p>
        </w:tc>
      </w:tr>
      <w:tr>
        <w:tc>
          <w:tcPr>
            <w:tcW w:type="dxa" w:w="1625"/>
            <w:shd w:fill="FFFFFF"/>
            <w:tcMar>
              <w:top w:w="60" w:type="dxa"/>
              <w:bottom w:w="60" w:type="dxa"/>
              <w:left w:w="100" w:type="dxa"/>
              <w:right w:w="100" w:type="dxa"/>
            </w:tcMar>
          </w:tcPr>
          <w:p>
            <w:pPr>
              <w:jc w:val="center"/>
            </w:pPr>
            <w:r>
              <w:rPr>
                <w:rFonts w:ascii="Times New Roman" w:hAnsi="Times New Roman"/>
                <w:sz w:val="17"/>
              </w:rPr>
              <w:t>Protocol B</w:t>
            </w:r>
          </w:p>
        </w:tc>
        <w:tc>
          <w:tcPr>
            <w:tcW w:type="dxa" w:w="1625"/>
            <w:shd w:fill="FFFFFF"/>
            <w:tcMar>
              <w:top w:w="60" w:type="dxa"/>
              <w:bottom w:w="60" w:type="dxa"/>
              <w:left w:w="100" w:type="dxa"/>
              <w:right w:w="100" w:type="dxa"/>
            </w:tcMar>
          </w:tcPr>
          <w:p>
            <w:pPr>
              <w:jc w:val="center"/>
            </w:pPr>
            <w:r>
              <w:rPr>
                <w:rFonts w:ascii="Times New Roman" w:hAnsi="Times New Roman"/>
                <w:sz w:val="17"/>
              </w:rPr>
              <w:t>Clipped at 125</w:t>
            </w:r>
          </w:p>
        </w:tc>
        <w:tc>
          <w:tcPr>
            <w:tcW w:type="dxa" w:w="1625"/>
            <w:shd w:fill="FFFFFF"/>
            <w:tcMar>
              <w:top w:w="60" w:type="dxa"/>
              <w:bottom w:w="60" w:type="dxa"/>
              <w:left w:w="100" w:type="dxa"/>
              <w:right w:w="100" w:type="dxa"/>
            </w:tcMar>
          </w:tcPr>
          <w:p>
            <w:pPr>
              <w:jc w:val="center"/>
            </w:pPr>
            <w:r>
              <w:rPr>
                <w:rFonts w:ascii="Times New Roman" w:hAnsi="Times New Roman"/>
                <w:sz w:val="17"/>
              </w:rPr>
              <w:t>13.0082</w:t>
            </w:r>
          </w:p>
        </w:tc>
        <w:tc>
          <w:tcPr>
            <w:tcW w:type="dxa" w:w="1625"/>
            <w:shd w:fill="FFFFFF"/>
            <w:tcMar>
              <w:top w:w="60" w:type="dxa"/>
              <w:bottom w:w="60" w:type="dxa"/>
              <w:left w:w="100" w:type="dxa"/>
              <w:right w:w="100" w:type="dxa"/>
            </w:tcMar>
          </w:tcPr>
          <w:p>
            <w:pPr>
              <w:jc w:val="center"/>
            </w:pPr>
            <w:r>
              <w:rPr>
                <w:rFonts w:ascii="Times New Roman" w:hAnsi="Times New Roman"/>
                <w:sz w:val="17"/>
              </w:rPr>
              <w:t>9.3344</w:t>
            </w:r>
          </w:p>
        </w:tc>
        <w:tc>
          <w:tcPr>
            <w:tcW w:type="dxa" w:w="1625"/>
            <w:shd w:fill="FFFFFF"/>
            <w:tcMar>
              <w:top w:w="60" w:type="dxa"/>
              <w:bottom w:w="60" w:type="dxa"/>
              <w:left w:w="100" w:type="dxa"/>
              <w:right w:w="100" w:type="dxa"/>
            </w:tcMar>
          </w:tcPr>
          <w:p>
            <w:pPr>
              <w:jc w:val="center"/>
            </w:pPr>
            <w:r>
              <w:rPr>
                <w:rFonts w:ascii="Times New Roman" w:hAnsi="Times New Roman"/>
                <w:sz w:val="17"/>
              </w:rPr>
              <w:t>0.8946</w:t>
            </w:r>
          </w:p>
        </w:tc>
        <w:tc>
          <w:tcPr>
            <w:tcW w:type="dxa" w:w="1625"/>
            <w:shd w:fill="FFFFFF"/>
            <w:tcMar>
              <w:top w:w="60" w:type="dxa"/>
              <w:bottom w:w="60" w:type="dxa"/>
              <w:left w:w="100" w:type="dxa"/>
              <w:right w:w="100" w:type="dxa"/>
            </w:tcMar>
          </w:tcPr>
          <w:p>
            <w:pPr>
              <w:jc w:val="center"/>
            </w:pPr>
            <w:r>
              <w:rPr>
                <w:rFonts w:ascii="Times New Roman" w:hAnsi="Times New Roman"/>
                <w:sz w:val="17"/>
              </w:rPr>
              <w:t>280.35</w:t>
            </w:r>
          </w:p>
        </w:tc>
      </w:tr>
    </w:tbl>
    <w:p>
      <w:pPr>
        <w:spacing w:before="80" w:after="160"/>
        <w:jc w:val="center"/>
      </w:pPr>
      <w:r>
        <w:rPr>
          <w:rFonts w:ascii="Times New Roman" w:hAnsi="Times New Roman"/>
          <w:b/>
          <w:sz w:val="17"/>
        </w:rPr>
        <w:t>TABLE I: Clean Baseline Performance Across Evaluation Protocols (N = 100 Engines)</w:t>
      </w:r>
    </w:p>
    <w:p>
      <w:pPr>
        <w:spacing w:before="160" w:after="40"/>
        <w:jc w:val="center"/>
      </w:pPr>
    </w:p>
    <w:p>
      <w:r>
        <w:drawing>
          <wp:inline xmlns:a="http://schemas.openxmlformats.org/drawingml/2006/main" xmlns:pic="http://schemas.openxmlformats.org/drawingml/2006/picture">
            <wp:extent cx="5669280" cy="3401568"/>
            <wp:docPr id="1" name="Picture 1"/>
            <wp:cNvGraphicFramePr>
              <a:graphicFrameLocks noChangeAspect="1"/>
            </wp:cNvGraphicFramePr>
            <a:graphic>
              <a:graphicData uri="http://schemas.openxmlformats.org/drawingml/2006/picture">
                <pic:pic>
                  <pic:nvPicPr>
                    <pic:cNvPr id="0" name="fig1_baseline_protocols.png"/>
                    <pic:cNvPicPr/>
                  </pic:nvPicPr>
                  <pic:blipFill>
                    <a:blip r:embed="rId11"/>
                    <a:stretch>
                      <a:fillRect/>
                    </a:stretch>
                  </pic:blipFill>
                  <pic:spPr>
                    <a:xfrm>
                      <a:off x="0" y="0"/>
                      <a:ext cx="5669280" cy="3401568"/>
                    </a:xfrm>
                    <a:prstGeom prst="rect"/>
                  </pic:spPr>
                </pic:pic>
              </a:graphicData>
            </a:graphic>
          </wp:inline>
        </w:drawing>
      </w:r>
    </w:p>
    <w:p>
      <w:pPr>
        <w:spacing w:after="200"/>
        <w:jc w:val="center"/>
      </w:pPr>
      <w:r>
        <w:rPr>
          <w:rFonts w:ascii="Times New Roman" w:hAnsi="Times New Roman"/>
          <w:i/>
          <w:sz w:val="18"/>
        </w:rPr>
        <w:t>Fig. 1. Clean baseline evaluation under Protocol A (raw unclipped) vs. Protocol B (clipped at 125).</w:t>
      </w:r>
    </w:p>
    <w:p>
      <w:pPr>
        <w:spacing w:before="160" w:after="60"/>
        <w:jc w:val="left"/>
      </w:pPr>
      <w:r>
        <w:rPr>
          <w:rFonts w:ascii="Times New Roman" w:hAnsi="Times New Roman"/>
          <w:b/>
          <w:i/>
          <w:sz w:val="20"/>
        </w:rPr>
        <w:t>B. Sensor Manipulation Resilience &amp; Evasion Dynamics</w:t>
      </w:r>
    </w:p>
    <w:p>
      <w:pPr>
        <w:spacing w:line="252" w:lineRule="auto" w:after="80"/>
        <w:jc w:val="both"/>
      </w:pPr>
      <w:r>
        <w:rPr>
          <w:rFonts w:ascii="Times New Roman" w:hAnsi="Times New Roman"/>
          <w:sz w:val="20"/>
        </w:rPr>
        <w:t>Table II presents empirical outcomes across all six sensor attack scenarios.</w:t>
      </w:r>
    </w:p>
    <w:tbl>
      <w:tblPr>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219"/>
            <w:shd w:fill="1E293B"/>
            <w:tcMar>
              <w:top w:w="80" w:type="dxa"/>
              <w:bottom w:w="80" w:type="dxa"/>
              <w:left w:w="80" w:type="dxa"/>
              <w:right w:w="80" w:type="dxa"/>
            </w:tcMar>
          </w:tcPr>
          <w:p>
            <w:pPr>
              <w:jc w:val="center"/>
            </w:pPr>
            <w:r>
              <w:rPr>
                <w:rFonts w:ascii="Times New Roman" w:hAnsi="Times New Roman"/>
                <w:b/>
                <w:color w:val="FFFFFF"/>
                <w:sz w:val="16"/>
              </w:rPr>
              <w:t>Scenario</w:t>
            </w:r>
          </w:p>
        </w:tc>
        <w:tc>
          <w:tcPr>
            <w:tcW w:type="dxa" w:w="1219"/>
            <w:shd w:fill="1E293B"/>
            <w:tcMar>
              <w:top w:w="80" w:type="dxa"/>
              <w:bottom w:w="80" w:type="dxa"/>
              <w:left w:w="80" w:type="dxa"/>
              <w:right w:w="80" w:type="dxa"/>
            </w:tcMar>
          </w:tcPr>
          <w:p>
            <w:pPr>
              <w:jc w:val="center"/>
            </w:pPr>
            <w:r>
              <w:rPr>
                <w:rFonts w:ascii="Times New Roman" w:hAnsi="Times New Roman"/>
                <w:b/>
                <w:color w:val="FFFFFF"/>
                <w:sz w:val="16"/>
              </w:rPr>
              <w:t>Description</w:t>
            </w:r>
          </w:p>
        </w:tc>
        <w:tc>
          <w:tcPr>
            <w:tcW w:type="dxa" w:w="1219"/>
            <w:shd w:fill="1E293B"/>
            <w:tcMar>
              <w:top w:w="80" w:type="dxa"/>
              <w:bottom w:w="80" w:type="dxa"/>
              <w:left w:w="80" w:type="dxa"/>
              <w:right w:w="80" w:type="dxa"/>
            </w:tcMar>
          </w:tcPr>
          <w:p>
            <w:pPr>
              <w:jc w:val="center"/>
            </w:pPr>
            <w:r>
              <w:rPr>
                <w:rFonts w:ascii="Times New Roman" w:hAnsi="Times New Roman"/>
                <w:b/>
                <w:color w:val="FFFFFF"/>
                <w:sz w:val="16"/>
              </w:rPr>
              <w:t>Shift</w:t>
            </w:r>
          </w:p>
        </w:tc>
        <w:tc>
          <w:tcPr>
            <w:tcW w:type="dxa" w:w="1219"/>
            <w:shd w:fill="1E293B"/>
            <w:tcMar>
              <w:top w:w="80" w:type="dxa"/>
              <w:bottom w:w="80" w:type="dxa"/>
              <w:left w:w="80" w:type="dxa"/>
              <w:right w:w="80" w:type="dxa"/>
            </w:tcMar>
          </w:tcPr>
          <w:p>
            <w:pPr>
              <w:jc w:val="center"/>
            </w:pPr>
            <w:r>
              <w:rPr>
                <w:rFonts w:ascii="Times New Roman" w:hAnsi="Times New Roman"/>
                <w:b/>
                <w:color w:val="FFFFFF"/>
                <w:sz w:val="16"/>
              </w:rPr>
              <w:t>RMSE</w:t>
            </w:r>
          </w:p>
        </w:tc>
        <w:tc>
          <w:tcPr>
            <w:tcW w:type="dxa" w:w="1219"/>
            <w:shd w:fill="1E293B"/>
            <w:tcMar>
              <w:top w:w="80" w:type="dxa"/>
              <w:bottom w:w="80" w:type="dxa"/>
              <w:left w:w="80" w:type="dxa"/>
              <w:right w:w="80" w:type="dxa"/>
            </w:tcMar>
          </w:tcPr>
          <w:p>
            <w:pPr>
              <w:jc w:val="center"/>
            </w:pPr>
            <w:r>
              <w:rPr>
                <w:rFonts w:ascii="Times New Roman" w:hAnsi="Times New Roman"/>
                <w:b/>
                <w:color w:val="FFFFFF"/>
                <w:sz w:val="16"/>
              </w:rPr>
              <w:t>MAE</w:t>
            </w:r>
          </w:p>
        </w:tc>
        <w:tc>
          <w:tcPr>
            <w:tcW w:type="dxa" w:w="1219"/>
            <w:shd w:fill="1E293B"/>
            <w:tcMar>
              <w:top w:w="80" w:type="dxa"/>
              <w:bottom w:w="80" w:type="dxa"/>
              <w:left w:w="80" w:type="dxa"/>
              <w:right w:w="80" w:type="dxa"/>
            </w:tcMar>
          </w:tcPr>
          <w:p>
            <w:pPr>
              <w:jc w:val="center"/>
            </w:pPr>
            <w:r>
              <w:rPr>
                <w:rFonts w:ascii="Times New Roman" w:hAnsi="Times New Roman"/>
                <w:b/>
                <w:color w:val="FFFFFF"/>
                <w:sz w:val="16"/>
              </w:rPr>
              <w:t>NASA Score</w:t>
            </w:r>
          </w:p>
        </w:tc>
        <w:tc>
          <w:tcPr>
            <w:tcW w:type="dxa" w:w="1219"/>
            <w:shd w:fill="1E293B"/>
            <w:tcMar>
              <w:top w:w="80" w:type="dxa"/>
              <w:bottom w:w="80" w:type="dxa"/>
              <w:left w:w="80" w:type="dxa"/>
              <w:right w:w="80" w:type="dxa"/>
            </w:tcMar>
          </w:tcPr>
          <w:p>
            <w:pPr>
              <w:jc w:val="center"/>
            </w:pPr>
            <w:r>
              <w:rPr>
                <w:rFonts w:ascii="Times New Roman" w:hAnsi="Times New Roman"/>
                <w:b/>
                <w:color w:val="FFFFFF"/>
                <w:sz w:val="16"/>
              </w:rPr>
              <w:t>HPR (%)</w:t>
            </w:r>
          </w:p>
        </w:tc>
        <w:tc>
          <w:tcPr>
            <w:tcW w:type="dxa" w:w="1219"/>
            <w:shd w:fill="1E293B"/>
            <w:tcMar>
              <w:top w:w="80" w:type="dxa"/>
              <w:bottom w:w="80" w:type="dxa"/>
              <w:left w:w="80" w:type="dxa"/>
              <w:right w:w="80" w:type="dxa"/>
            </w:tcMar>
          </w:tcPr>
          <w:p>
            <w:pPr>
              <w:jc w:val="center"/>
            </w:pPr>
            <w:r>
              <w:rPr>
                <w:rFonts w:ascii="Times New Roman" w:hAnsi="Times New Roman"/>
                <w:b/>
                <w:color w:val="FFFFFF"/>
                <w:sz w:val="16"/>
              </w:rPr>
              <w:t>PSI Alerts</w:t>
            </w:r>
          </w:p>
        </w:tc>
      </w:tr>
      <w:tr>
        <w:tc>
          <w:tcPr>
            <w:tcW w:type="dxa" w:w="1219"/>
            <w:shd w:fill="F8FAFC"/>
            <w:tcMar>
              <w:top w:w="50" w:type="dxa"/>
              <w:bottom w:w="50" w:type="dxa"/>
              <w:left w:w="80" w:type="dxa"/>
              <w:right w:w="80" w:type="dxa"/>
            </w:tcMar>
          </w:tcPr>
          <w:p>
            <w:pPr>
              <w:jc w:val="center"/>
            </w:pPr>
            <w:r>
              <w:rPr>
                <w:rFonts w:ascii="Times New Roman" w:hAnsi="Times New Roman"/>
                <w:sz w:val="16"/>
              </w:rPr>
              <w:t>clean</w:t>
            </w:r>
          </w:p>
        </w:tc>
        <w:tc>
          <w:tcPr>
            <w:tcW w:type="dxa" w:w="1219"/>
            <w:shd w:fill="F8FAFC"/>
            <w:tcMar>
              <w:top w:w="50" w:type="dxa"/>
              <w:bottom w:w="50" w:type="dxa"/>
              <w:left w:w="80" w:type="dxa"/>
              <w:right w:w="80" w:type="dxa"/>
            </w:tcMar>
          </w:tcPr>
          <w:p>
            <w:pPr>
              <w:jc w:val="center"/>
            </w:pPr>
            <w:r>
              <w:rPr>
                <w:rFonts w:ascii="Times New Roman" w:hAnsi="Times New Roman"/>
                <w:sz w:val="16"/>
              </w:rPr>
              <w:t>Clean Baseline</w:t>
            </w:r>
          </w:p>
        </w:tc>
        <w:tc>
          <w:tcPr>
            <w:tcW w:type="dxa" w:w="1219"/>
            <w:shd w:fill="F8FAFC"/>
            <w:tcMar>
              <w:top w:w="50" w:type="dxa"/>
              <w:bottom w:w="50" w:type="dxa"/>
              <w:left w:w="80" w:type="dxa"/>
              <w:right w:w="80" w:type="dxa"/>
            </w:tcMar>
          </w:tcPr>
          <w:p>
            <w:pPr>
              <w:jc w:val="center"/>
            </w:pPr>
            <w:r>
              <w:rPr>
                <w:rFonts w:ascii="Times New Roman" w:hAnsi="Times New Roman"/>
                <w:sz w:val="16"/>
              </w:rPr>
              <w:t>0.0</w:t>
            </w:r>
          </w:p>
        </w:tc>
        <w:tc>
          <w:tcPr>
            <w:tcW w:type="dxa" w:w="1219"/>
            <w:shd w:fill="F8FAFC"/>
            <w:tcMar>
              <w:top w:w="50" w:type="dxa"/>
              <w:bottom w:w="50" w:type="dxa"/>
              <w:left w:w="80" w:type="dxa"/>
              <w:right w:w="80" w:type="dxa"/>
            </w:tcMar>
          </w:tcPr>
          <w:p>
            <w:pPr>
              <w:jc w:val="center"/>
            </w:pPr>
            <w:r>
              <w:rPr>
                <w:rFonts w:ascii="Times New Roman" w:hAnsi="Times New Roman"/>
                <w:sz w:val="16"/>
              </w:rPr>
              <w:t>13.90</w:t>
            </w:r>
          </w:p>
        </w:tc>
        <w:tc>
          <w:tcPr>
            <w:tcW w:type="dxa" w:w="1219"/>
            <w:shd w:fill="F8FAFC"/>
            <w:tcMar>
              <w:top w:w="50" w:type="dxa"/>
              <w:bottom w:w="50" w:type="dxa"/>
              <w:left w:w="80" w:type="dxa"/>
              <w:right w:w="80" w:type="dxa"/>
            </w:tcMar>
          </w:tcPr>
          <w:p>
            <w:pPr>
              <w:jc w:val="center"/>
            </w:pPr>
            <w:r>
              <w:rPr>
                <w:rFonts w:ascii="Times New Roman" w:hAnsi="Times New Roman"/>
                <w:sz w:val="16"/>
              </w:rPr>
              <w:t>10.40</w:t>
            </w:r>
          </w:p>
        </w:tc>
        <w:tc>
          <w:tcPr>
            <w:tcW w:type="dxa" w:w="1219"/>
            <w:shd w:fill="F8FAFC"/>
            <w:tcMar>
              <w:top w:w="50" w:type="dxa"/>
              <w:bottom w:w="50" w:type="dxa"/>
              <w:left w:w="80" w:type="dxa"/>
              <w:right w:w="80" w:type="dxa"/>
            </w:tcMar>
          </w:tcPr>
          <w:p>
            <w:pPr>
              <w:jc w:val="center"/>
            </w:pPr>
            <w:r>
              <w:rPr>
                <w:rFonts w:ascii="Times New Roman" w:hAnsi="Times New Roman"/>
                <w:sz w:val="16"/>
              </w:rPr>
              <w:t>301.97</w:t>
            </w:r>
          </w:p>
        </w:tc>
        <w:tc>
          <w:tcPr>
            <w:tcW w:type="dxa" w:w="1219"/>
            <w:shd w:fill="F8FAFC"/>
            <w:tcMar>
              <w:top w:w="50" w:type="dxa"/>
              <w:bottom w:w="50" w:type="dxa"/>
              <w:left w:w="80" w:type="dxa"/>
              <w:right w:w="80" w:type="dxa"/>
            </w:tcMar>
          </w:tcPr>
          <w:p>
            <w:pPr>
              <w:jc w:val="center"/>
            </w:pPr>
            <w:r>
              <w:rPr>
                <w:rFonts w:ascii="Times New Roman" w:hAnsi="Times New Roman"/>
                <w:sz w:val="16"/>
              </w:rPr>
              <w:t>15.79</w:t>
            </w:r>
          </w:p>
        </w:tc>
        <w:tc>
          <w:tcPr>
            <w:tcW w:type="dxa" w:w="1219"/>
            <w:shd w:fill="F8FAFC"/>
            <w:tcMar>
              <w:top w:w="50" w:type="dxa"/>
              <w:bottom w:w="50" w:type="dxa"/>
              <w:left w:w="80" w:type="dxa"/>
              <w:right w:w="80" w:type="dxa"/>
            </w:tcMar>
          </w:tcPr>
          <w:p>
            <w:pPr>
              <w:jc w:val="center"/>
            </w:pPr>
            <w:r>
              <w:rPr>
                <w:rFonts w:ascii="Times New Roman" w:hAnsi="Times New Roman"/>
                <w:sz w:val="16"/>
              </w:rPr>
              <w:t>0</w:t>
            </w:r>
          </w:p>
        </w:tc>
      </w:tr>
      <w:tr>
        <w:tc>
          <w:tcPr>
            <w:tcW w:type="dxa" w:w="1219"/>
            <w:shd w:fill="FFFFFF"/>
            <w:tcMar>
              <w:top w:w="50" w:type="dxa"/>
              <w:bottom w:w="50" w:type="dxa"/>
              <w:left w:w="80" w:type="dxa"/>
              <w:right w:w="80" w:type="dxa"/>
            </w:tcMar>
          </w:tcPr>
          <w:p>
            <w:pPr>
              <w:jc w:val="center"/>
            </w:pPr>
            <w:r>
              <w:rPr>
                <w:rFonts w:ascii="Times New Roman" w:hAnsi="Times New Roman"/>
                <w:sz w:val="16"/>
              </w:rPr>
              <w:t>sc1</w:t>
            </w:r>
          </w:p>
        </w:tc>
        <w:tc>
          <w:tcPr>
            <w:tcW w:type="dxa" w:w="1219"/>
            <w:shd w:fill="FFFFFF"/>
            <w:tcMar>
              <w:top w:w="50" w:type="dxa"/>
              <w:bottom w:w="50" w:type="dxa"/>
              <w:left w:w="80" w:type="dxa"/>
              <w:right w:w="80" w:type="dxa"/>
            </w:tcMar>
          </w:tcPr>
          <w:p>
            <w:pPr>
              <w:jc w:val="center"/>
            </w:pPr>
            <w:r>
              <w:rPr>
                <w:rFonts w:ascii="Times New Roman" w:hAnsi="Times New Roman"/>
                <w:sz w:val="16"/>
              </w:rPr>
              <w:t>Step Bias (+1.0σ)</w:t>
            </w:r>
          </w:p>
        </w:tc>
        <w:tc>
          <w:tcPr>
            <w:tcW w:type="dxa" w:w="1219"/>
            <w:shd w:fill="FFFFFF"/>
            <w:tcMar>
              <w:top w:w="50" w:type="dxa"/>
              <w:bottom w:w="50" w:type="dxa"/>
              <w:left w:w="80" w:type="dxa"/>
              <w:right w:w="80" w:type="dxa"/>
            </w:tcMar>
          </w:tcPr>
          <w:p>
            <w:pPr>
              <w:jc w:val="center"/>
            </w:pPr>
            <w:r>
              <w:rPr>
                <w:rFonts w:ascii="Times New Roman" w:hAnsi="Times New Roman"/>
                <w:sz w:val="16"/>
              </w:rPr>
              <w:t>-9.5</w:t>
            </w:r>
          </w:p>
        </w:tc>
        <w:tc>
          <w:tcPr>
            <w:tcW w:type="dxa" w:w="1219"/>
            <w:shd w:fill="FFFFFF"/>
            <w:tcMar>
              <w:top w:w="50" w:type="dxa"/>
              <w:bottom w:w="50" w:type="dxa"/>
              <w:left w:w="80" w:type="dxa"/>
              <w:right w:w="80" w:type="dxa"/>
            </w:tcMar>
          </w:tcPr>
          <w:p>
            <w:pPr>
              <w:jc w:val="center"/>
            </w:pPr>
            <w:r>
              <w:rPr>
                <w:rFonts w:ascii="Times New Roman" w:hAnsi="Times New Roman"/>
                <w:sz w:val="16"/>
              </w:rPr>
              <w:t>15.73</w:t>
            </w:r>
          </w:p>
        </w:tc>
        <w:tc>
          <w:tcPr>
            <w:tcW w:type="dxa" w:w="1219"/>
            <w:shd w:fill="FFFFFF"/>
            <w:tcMar>
              <w:top w:w="50" w:type="dxa"/>
              <w:bottom w:w="50" w:type="dxa"/>
              <w:left w:w="80" w:type="dxa"/>
              <w:right w:w="80" w:type="dxa"/>
            </w:tcMar>
          </w:tcPr>
          <w:p>
            <w:pPr>
              <w:jc w:val="center"/>
            </w:pPr>
            <w:r>
              <w:rPr>
                <w:rFonts w:ascii="Times New Roman" w:hAnsi="Times New Roman"/>
                <w:sz w:val="16"/>
              </w:rPr>
              <w:t>13.07</w:t>
            </w:r>
          </w:p>
        </w:tc>
        <w:tc>
          <w:tcPr>
            <w:tcW w:type="dxa" w:w="1219"/>
            <w:shd w:fill="FFFFFF"/>
            <w:tcMar>
              <w:top w:w="50" w:type="dxa"/>
              <w:bottom w:w="50" w:type="dxa"/>
              <w:left w:w="80" w:type="dxa"/>
              <w:right w:w="80" w:type="dxa"/>
            </w:tcMar>
          </w:tcPr>
          <w:p>
            <w:pPr>
              <w:jc w:val="center"/>
            </w:pPr>
            <w:r>
              <w:rPr>
                <w:rFonts w:ascii="Times New Roman" w:hAnsi="Times New Roman"/>
                <w:sz w:val="16"/>
              </w:rPr>
              <w:t>254.94</w:t>
            </w:r>
          </w:p>
        </w:tc>
        <w:tc>
          <w:tcPr>
            <w:tcW w:type="dxa" w:w="1219"/>
            <w:shd w:fill="FFFFFF"/>
            <w:tcMar>
              <w:top w:w="50" w:type="dxa"/>
              <w:bottom w:w="50" w:type="dxa"/>
              <w:left w:w="80" w:type="dxa"/>
              <w:right w:w="80" w:type="dxa"/>
            </w:tcMar>
          </w:tcPr>
          <w:p>
            <w:pPr>
              <w:jc w:val="center"/>
            </w:pPr>
            <w:r>
              <w:rPr>
                <w:rFonts w:ascii="Times New Roman" w:hAnsi="Times New Roman"/>
                <w:sz w:val="16"/>
              </w:rPr>
              <w:t>10.53</w:t>
            </w:r>
          </w:p>
        </w:tc>
        <w:tc>
          <w:tcPr>
            <w:tcW w:type="dxa" w:w="1219"/>
            <w:shd w:fill="FFFFFF"/>
            <w:tcMar>
              <w:top w:w="50" w:type="dxa"/>
              <w:bottom w:w="50" w:type="dxa"/>
              <w:left w:w="80" w:type="dxa"/>
              <w:right w:w="80" w:type="dxa"/>
            </w:tcMar>
          </w:tcPr>
          <w:p>
            <w:pPr>
              <w:jc w:val="center"/>
            </w:pPr>
            <w:r>
              <w:rPr>
                <w:rFonts w:ascii="Times New Roman" w:hAnsi="Times New Roman"/>
                <w:sz w:val="16"/>
              </w:rPr>
              <w:t>0</w:t>
            </w:r>
          </w:p>
        </w:tc>
      </w:tr>
      <w:tr>
        <w:tc>
          <w:tcPr>
            <w:tcW w:type="dxa" w:w="1219"/>
            <w:shd w:fill="F8FAFC"/>
            <w:tcMar>
              <w:top w:w="50" w:type="dxa"/>
              <w:bottom w:w="50" w:type="dxa"/>
              <w:left w:w="80" w:type="dxa"/>
              <w:right w:w="80" w:type="dxa"/>
            </w:tcMar>
          </w:tcPr>
          <w:p>
            <w:pPr>
              <w:jc w:val="center"/>
            </w:pPr>
            <w:r>
              <w:rPr>
                <w:rFonts w:ascii="Times New Roman" w:hAnsi="Times New Roman"/>
                <w:sz w:val="16"/>
              </w:rPr>
              <w:t>sc2</w:t>
            </w:r>
          </w:p>
        </w:tc>
        <w:tc>
          <w:tcPr>
            <w:tcW w:type="dxa" w:w="1219"/>
            <w:shd w:fill="F8FAFC"/>
            <w:tcMar>
              <w:top w:w="50" w:type="dxa"/>
              <w:bottom w:w="50" w:type="dxa"/>
              <w:left w:w="80" w:type="dxa"/>
              <w:right w:w="80" w:type="dxa"/>
            </w:tcMar>
          </w:tcPr>
          <w:p>
            <w:pPr>
              <w:jc w:val="center"/>
            </w:pPr>
            <w:r>
              <w:rPr>
                <w:rFonts w:ascii="Times New Roman" w:hAnsi="Times New Roman"/>
                <w:sz w:val="16"/>
              </w:rPr>
              <w:t>Step Bias (+2.0σ)</w:t>
            </w:r>
          </w:p>
        </w:tc>
        <w:tc>
          <w:tcPr>
            <w:tcW w:type="dxa" w:w="1219"/>
            <w:shd w:fill="F8FAFC"/>
            <w:tcMar>
              <w:top w:w="50" w:type="dxa"/>
              <w:bottom w:w="50" w:type="dxa"/>
              <w:left w:w="80" w:type="dxa"/>
              <w:right w:w="80" w:type="dxa"/>
            </w:tcMar>
          </w:tcPr>
          <w:p>
            <w:pPr>
              <w:jc w:val="center"/>
            </w:pPr>
            <w:r>
              <w:rPr>
                <w:rFonts w:ascii="Times New Roman" w:hAnsi="Times New Roman"/>
                <w:sz w:val="16"/>
              </w:rPr>
              <w:t>-12.1</w:t>
            </w:r>
          </w:p>
        </w:tc>
        <w:tc>
          <w:tcPr>
            <w:tcW w:type="dxa" w:w="1219"/>
            <w:shd w:fill="F8FAFC"/>
            <w:tcMar>
              <w:top w:w="50" w:type="dxa"/>
              <w:bottom w:w="50" w:type="dxa"/>
              <w:left w:w="80" w:type="dxa"/>
              <w:right w:w="80" w:type="dxa"/>
            </w:tcMar>
          </w:tcPr>
          <w:p>
            <w:pPr>
              <w:jc w:val="center"/>
            </w:pPr>
            <w:r>
              <w:rPr>
                <w:rFonts w:ascii="Times New Roman" w:hAnsi="Times New Roman"/>
                <w:sz w:val="16"/>
              </w:rPr>
              <w:t>18.06</w:t>
            </w:r>
          </w:p>
        </w:tc>
        <w:tc>
          <w:tcPr>
            <w:tcW w:type="dxa" w:w="1219"/>
            <w:shd w:fill="F8FAFC"/>
            <w:tcMar>
              <w:top w:w="50" w:type="dxa"/>
              <w:bottom w:w="50" w:type="dxa"/>
              <w:left w:w="80" w:type="dxa"/>
              <w:right w:w="80" w:type="dxa"/>
            </w:tcMar>
          </w:tcPr>
          <w:p>
            <w:pPr>
              <w:jc w:val="center"/>
            </w:pPr>
            <w:r>
              <w:rPr>
                <w:rFonts w:ascii="Times New Roman" w:hAnsi="Times New Roman"/>
                <w:sz w:val="16"/>
              </w:rPr>
              <w:t>14.88</w:t>
            </w:r>
          </w:p>
        </w:tc>
        <w:tc>
          <w:tcPr>
            <w:tcW w:type="dxa" w:w="1219"/>
            <w:shd w:fill="F8FAFC"/>
            <w:tcMar>
              <w:top w:w="50" w:type="dxa"/>
              <w:bottom w:w="50" w:type="dxa"/>
              <w:left w:w="80" w:type="dxa"/>
              <w:right w:w="80" w:type="dxa"/>
            </w:tcMar>
          </w:tcPr>
          <w:p>
            <w:pPr>
              <w:jc w:val="center"/>
            </w:pPr>
            <w:r>
              <w:rPr>
                <w:rFonts w:ascii="Times New Roman" w:hAnsi="Times New Roman"/>
                <w:sz w:val="16"/>
              </w:rPr>
              <w:t>344.24</w:t>
            </w:r>
          </w:p>
        </w:tc>
        <w:tc>
          <w:tcPr>
            <w:tcW w:type="dxa" w:w="1219"/>
            <w:shd w:fill="F8FAFC"/>
            <w:tcMar>
              <w:top w:w="50" w:type="dxa"/>
              <w:bottom w:w="50" w:type="dxa"/>
              <w:left w:w="80" w:type="dxa"/>
              <w:right w:w="80" w:type="dxa"/>
            </w:tcMar>
          </w:tcPr>
          <w:p>
            <w:pPr>
              <w:jc w:val="center"/>
            </w:pPr>
            <w:r>
              <w:rPr>
                <w:rFonts w:ascii="Times New Roman" w:hAnsi="Times New Roman"/>
                <w:sz w:val="16"/>
              </w:rPr>
              <w:t>5.26</w:t>
            </w:r>
          </w:p>
        </w:tc>
        <w:tc>
          <w:tcPr>
            <w:tcW w:type="dxa" w:w="1219"/>
            <w:shd w:fill="F8FAFC"/>
            <w:tcMar>
              <w:top w:w="50" w:type="dxa"/>
              <w:bottom w:w="50" w:type="dxa"/>
              <w:left w:w="80" w:type="dxa"/>
              <w:right w:w="80" w:type="dxa"/>
            </w:tcMar>
          </w:tcPr>
          <w:p>
            <w:pPr>
              <w:jc w:val="center"/>
            </w:pPr>
            <w:r>
              <w:rPr>
                <w:rFonts w:ascii="Times New Roman" w:hAnsi="Times New Roman"/>
                <w:sz w:val="16"/>
              </w:rPr>
              <w:t>1</w:t>
            </w:r>
          </w:p>
        </w:tc>
      </w:tr>
      <w:tr>
        <w:tc>
          <w:tcPr>
            <w:tcW w:type="dxa" w:w="1219"/>
            <w:shd w:fill="FFFFFF"/>
            <w:tcMar>
              <w:top w:w="50" w:type="dxa"/>
              <w:bottom w:w="50" w:type="dxa"/>
              <w:left w:w="80" w:type="dxa"/>
              <w:right w:w="80" w:type="dxa"/>
            </w:tcMar>
          </w:tcPr>
          <w:p>
            <w:pPr>
              <w:jc w:val="center"/>
            </w:pPr>
            <w:r>
              <w:rPr>
                <w:rFonts w:ascii="Times New Roman" w:hAnsi="Times New Roman"/>
                <w:sz w:val="16"/>
              </w:rPr>
              <w:t>sc3</w:t>
            </w:r>
          </w:p>
        </w:tc>
        <w:tc>
          <w:tcPr>
            <w:tcW w:type="dxa" w:w="1219"/>
            <w:shd w:fill="FFFFFF"/>
            <w:tcMar>
              <w:top w:w="50" w:type="dxa"/>
              <w:bottom w:w="50" w:type="dxa"/>
              <w:left w:w="80" w:type="dxa"/>
              <w:right w:w="80" w:type="dxa"/>
            </w:tcMar>
          </w:tcPr>
          <w:p>
            <w:pPr>
              <w:jc w:val="center"/>
            </w:pPr>
            <w:r>
              <w:rPr>
                <w:rFonts w:ascii="Times New Roman" w:hAnsi="Times New Roman"/>
                <w:sz w:val="16"/>
              </w:rPr>
              <w:t>Negative Bias (-1.0σ)</w:t>
            </w:r>
          </w:p>
        </w:tc>
        <w:tc>
          <w:tcPr>
            <w:tcW w:type="dxa" w:w="1219"/>
            <w:shd w:fill="FFFFFF"/>
            <w:tcMar>
              <w:top w:w="50" w:type="dxa"/>
              <w:bottom w:w="50" w:type="dxa"/>
              <w:left w:w="80" w:type="dxa"/>
              <w:right w:w="80" w:type="dxa"/>
            </w:tcMar>
          </w:tcPr>
          <w:p>
            <w:pPr>
              <w:jc w:val="center"/>
            </w:pPr>
            <w:r>
              <w:rPr>
                <w:rFonts w:ascii="Times New Roman" w:hAnsi="Times New Roman"/>
                <w:sz w:val="16"/>
              </w:rPr>
              <w:t>+5.2</w:t>
            </w:r>
          </w:p>
        </w:tc>
        <w:tc>
          <w:tcPr>
            <w:tcW w:type="dxa" w:w="1219"/>
            <w:shd w:fill="FFFFFF"/>
            <w:tcMar>
              <w:top w:w="50" w:type="dxa"/>
              <w:bottom w:w="50" w:type="dxa"/>
              <w:left w:w="80" w:type="dxa"/>
              <w:right w:w="80" w:type="dxa"/>
            </w:tcMar>
          </w:tcPr>
          <w:p>
            <w:pPr>
              <w:jc w:val="center"/>
            </w:pPr>
            <w:r>
              <w:rPr>
                <w:rFonts w:ascii="Times New Roman" w:hAnsi="Times New Roman"/>
                <w:sz w:val="16"/>
              </w:rPr>
              <w:t>15.02</w:t>
            </w:r>
          </w:p>
        </w:tc>
        <w:tc>
          <w:tcPr>
            <w:tcW w:type="dxa" w:w="1219"/>
            <w:shd w:fill="FFFFFF"/>
            <w:tcMar>
              <w:top w:w="50" w:type="dxa"/>
              <w:bottom w:w="50" w:type="dxa"/>
              <w:left w:w="80" w:type="dxa"/>
              <w:right w:w="80" w:type="dxa"/>
            </w:tcMar>
          </w:tcPr>
          <w:p>
            <w:pPr>
              <w:jc w:val="center"/>
            </w:pPr>
            <w:r>
              <w:rPr>
                <w:rFonts w:ascii="Times New Roman" w:hAnsi="Times New Roman"/>
                <w:sz w:val="16"/>
              </w:rPr>
              <w:t>10.49</w:t>
            </w:r>
          </w:p>
        </w:tc>
        <w:tc>
          <w:tcPr>
            <w:tcW w:type="dxa" w:w="1219"/>
            <w:shd w:fill="FFFFFF"/>
            <w:tcMar>
              <w:top w:w="50" w:type="dxa"/>
              <w:bottom w:w="50" w:type="dxa"/>
              <w:left w:w="80" w:type="dxa"/>
              <w:right w:w="80" w:type="dxa"/>
            </w:tcMar>
          </w:tcPr>
          <w:p>
            <w:pPr>
              <w:jc w:val="center"/>
            </w:pPr>
            <w:r>
              <w:rPr>
                <w:rFonts w:ascii="Times New Roman" w:hAnsi="Times New Roman"/>
                <w:sz w:val="16"/>
              </w:rPr>
              <w:t>885.24</w:t>
            </w:r>
          </w:p>
        </w:tc>
        <w:tc>
          <w:tcPr>
            <w:tcW w:type="dxa" w:w="1219"/>
            <w:shd w:fill="FFFFFF"/>
            <w:tcMar>
              <w:top w:w="50" w:type="dxa"/>
              <w:bottom w:w="50" w:type="dxa"/>
              <w:left w:w="80" w:type="dxa"/>
              <w:right w:w="80" w:type="dxa"/>
            </w:tcMar>
          </w:tcPr>
          <w:p>
            <w:pPr>
              <w:jc w:val="center"/>
            </w:pPr>
            <w:r>
              <w:rPr>
                <w:rFonts w:ascii="Times New Roman" w:hAnsi="Times New Roman"/>
                <w:sz w:val="16"/>
              </w:rPr>
              <w:t>31.58</w:t>
            </w:r>
          </w:p>
        </w:tc>
        <w:tc>
          <w:tcPr>
            <w:tcW w:type="dxa" w:w="1219"/>
            <w:shd w:fill="FFFFFF"/>
            <w:tcMar>
              <w:top w:w="50" w:type="dxa"/>
              <w:bottom w:w="50" w:type="dxa"/>
              <w:left w:w="80" w:type="dxa"/>
              <w:right w:w="80" w:type="dxa"/>
            </w:tcMar>
          </w:tcPr>
          <w:p>
            <w:pPr>
              <w:jc w:val="center"/>
            </w:pPr>
            <w:r>
              <w:rPr>
                <w:rFonts w:ascii="Times New Roman" w:hAnsi="Times New Roman"/>
                <w:sz w:val="16"/>
              </w:rPr>
              <w:t>0</w:t>
            </w:r>
          </w:p>
        </w:tc>
      </w:tr>
      <w:tr>
        <w:tc>
          <w:tcPr>
            <w:tcW w:type="dxa" w:w="1219"/>
            <w:shd w:fill="F8FAFC"/>
            <w:tcMar>
              <w:top w:w="50" w:type="dxa"/>
              <w:bottom w:w="50" w:type="dxa"/>
              <w:left w:w="80" w:type="dxa"/>
              <w:right w:w="80" w:type="dxa"/>
            </w:tcMar>
          </w:tcPr>
          <w:p>
            <w:pPr>
              <w:jc w:val="center"/>
            </w:pPr>
            <w:r>
              <w:rPr>
                <w:rFonts w:ascii="Times New Roman" w:hAnsi="Times New Roman"/>
                <w:sz w:val="16"/>
              </w:rPr>
              <w:t>sc4</w:t>
            </w:r>
          </w:p>
        </w:tc>
        <w:tc>
          <w:tcPr>
            <w:tcW w:type="dxa" w:w="1219"/>
            <w:shd w:fill="F8FAFC"/>
            <w:tcMar>
              <w:top w:w="50" w:type="dxa"/>
              <w:bottom w:w="50" w:type="dxa"/>
              <w:left w:w="80" w:type="dxa"/>
              <w:right w:w="80" w:type="dxa"/>
            </w:tcMar>
          </w:tcPr>
          <w:p>
            <w:pPr>
              <w:jc w:val="center"/>
            </w:pPr>
            <w:r>
              <w:rPr>
                <w:rFonts w:ascii="Times New Roman" w:hAnsi="Times New Roman"/>
                <w:sz w:val="16"/>
              </w:rPr>
              <w:t>Creeping Ramp (+1.5σ)</w:t>
            </w:r>
          </w:p>
        </w:tc>
        <w:tc>
          <w:tcPr>
            <w:tcW w:type="dxa" w:w="1219"/>
            <w:shd w:fill="F8FAFC"/>
            <w:tcMar>
              <w:top w:w="50" w:type="dxa"/>
              <w:bottom w:w="50" w:type="dxa"/>
              <w:left w:w="80" w:type="dxa"/>
              <w:right w:w="80" w:type="dxa"/>
            </w:tcMar>
          </w:tcPr>
          <w:p>
            <w:pPr>
              <w:jc w:val="center"/>
            </w:pPr>
            <w:r>
              <w:rPr>
                <w:rFonts w:ascii="Times New Roman" w:hAnsi="Times New Roman"/>
                <w:sz w:val="16"/>
              </w:rPr>
              <w:t>-10.9</w:t>
            </w:r>
          </w:p>
        </w:tc>
        <w:tc>
          <w:tcPr>
            <w:tcW w:type="dxa" w:w="1219"/>
            <w:shd w:fill="F8FAFC"/>
            <w:tcMar>
              <w:top w:w="50" w:type="dxa"/>
              <w:bottom w:w="50" w:type="dxa"/>
              <w:left w:w="80" w:type="dxa"/>
              <w:right w:w="80" w:type="dxa"/>
            </w:tcMar>
          </w:tcPr>
          <w:p>
            <w:pPr>
              <w:jc w:val="center"/>
            </w:pPr>
            <w:r>
              <w:rPr>
                <w:rFonts w:ascii="Times New Roman" w:hAnsi="Times New Roman"/>
                <w:sz w:val="16"/>
              </w:rPr>
              <w:t>17.06</w:t>
            </w:r>
          </w:p>
        </w:tc>
        <w:tc>
          <w:tcPr>
            <w:tcW w:type="dxa" w:w="1219"/>
            <w:shd w:fill="F8FAFC"/>
            <w:tcMar>
              <w:top w:w="50" w:type="dxa"/>
              <w:bottom w:w="50" w:type="dxa"/>
              <w:left w:w="80" w:type="dxa"/>
              <w:right w:w="80" w:type="dxa"/>
            </w:tcMar>
          </w:tcPr>
          <w:p>
            <w:pPr>
              <w:jc w:val="center"/>
            </w:pPr>
            <w:r>
              <w:rPr>
                <w:rFonts w:ascii="Times New Roman" w:hAnsi="Times New Roman"/>
                <w:sz w:val="16"/>
              </w:rPr>
              <w:t>13.95</w:t>
            </w:r>
          </w:p>
        </w:tc>
        <w:tc>
          <w:tcPr>
            <w:tcW w:type="dxa" w:w="1219"/>
            <w:shd w:fill="F8FAFC"/>
            <w:tcMar>
              <w:top w:w="50" w:type="dxa"/>
              <w:bottom w:w="50" w:type="dxa"/>
              <w:left w:w="80" w:type="dxa"/>
              <w:right w:w="80" w:type="dxa"/>
            </w:tcMar>
          </w:tcPr>
          <w:p>
            <w:pPr>
              <w:jc w:val="center"/>
            </w:pPr>
            <w:r>
              <w:rPr>
                <w:rFonts w:ascii="Times New Roman" w:hAnsi="Times New Roman"/>
                <w:sz w:val="16"/>
              </w:rPr>
              <w:t>274.63</w:t>
            </w:r>
          </w:p>
        </w:tc>
        <w:tc>
          <w:tcPr>
            <w:tcW w:type="dxa" w:w="1219"/>
            <w:shd w:fill="F8FAFC"/>
            <w:tcMar>
              <w:top w:w="50" w:type="dxa"/>
              <w:bottom w:w="50" w:type="dxa"/>
              <w:left w:w="80" w:type="dxa"/>
              <w:right w:w="80" w:type="dxa"/>
            </w:tcMar>
          </w:tcPr>
          <w:p>
            <w:pPr>
              <w:jc w:val="center"/>
            </w:pPr>
            <w:r>
              <w:rPr>
                <w:rFonts w:ascii="Times New Roman" w:hAnsi="Times New Roman"/>
                <w:sz w:val="16"/>
              </w:rPr>
              <w:t>10.53</w:t>
            </w:r>
          </w:p>
        </w:tc>
        <w:tc>
          <w:tcPr>
            <w:tcW w:type="dxa" w:w="1219"/>
            <w:shd w:fill="F8FAFC"/>
            <w:tcMar>
              <w:top w:w="50" w:type="dxa"/>
              <w:bottom w:w="50" w:type="dxa"/>
              <w:left w:w="80" w:type="dxa"/>
              <w:right w:w="80" w:type="dxa"/>
            </w:tcMar>
          </w:tcPr>
          <w:p>
            <w:pPr>
              <w:jc w:val="center"/>
            </w:pPr>
            <w:r>
              <w:rPr>
                <w:rFonts w:ascii="Times New Roman" w:hAnsi="Times New Roman"/>
                <w:sz w:val="16"/>
              </w:rPr>
              <w:t>0</w:t>
            </w:r>
          </w:p>
        </w:tc>
      </w:tr>
      <w:tr>
        <w:tc>
          <w:tcPr>
            <w:tcW w:type="dxa" w:w="1219"/>
            <w:shd w:fill="FFFFFF"/>
            <w:tcMar>
              <w:top w:w="50" w:type="dxa"/>
              <w:bottom w:w="50" w:type="dxa"/>
              <w:left w:w="80" w:type="dxa"/>
              <w:right w:w="80" w:type="dxa"/>
            </w:tcMar>
          </w:tcPr>
          <w:p>
            <w:pPr>
              <w:jc w:val="center"/>
            </w:pPr>
            <w:r>
              <w:rPr>
                <w:rFonts w:ascii="Times New Roman" w:hAnsi="Times New Roman"/>
                <w:sz w:val="16"/>
              </w:rPr>
              <w:t>sc5</w:t>
            </w:r>
          </w:p>
        </w:tc>
        <w:tc>
          <w:tcPr>
            <w:tcW w:type="dxa" w:w="1219"/>
            <w:shd w:fill="FFFFFF"/>
            <w:tcMar>
              <w:top w:w="50" w:type="dxa"/>
              <w:bottom w:w="50" w:type="dxa"/>
              <w:left w:w="80" w:type="dxa"/>
              <w:right w:w="80" w:type="dxa"/>
            </w:tcMar>
          </w:tcPr>
          <w:p>
            <w:pPr>
              <w:jc w:val="center"/>
            </w:pPr>
            <w:r>
              <w:rPr>
                <w:rFonts w:ascii="Times New Roman" w:hAnsi="Times New Roman"/>
                <w:sz w:val="16"/>
              </w:rPr>
              <w:t>Multi-Sensor Bias</w:t>
            </w:r>
          </w:p>
        </w:tc>
        <w:tc>
          <w:tcPr>
            <w:tcW w:type="dxa" w:w="1219"/>
            <w:shd w:fill="FFFFFF"/>
            <w:tcMar>
              <w:top w:w="50" w:type="dxa"/>
              <w:bottom w:w="50" w:type="dxa"/>
              <w:left w:w="80" w:type="dxa"/>
              <w:right w:w="80" w:type="dxa"/>
            </w:tcMar>
          </w:tcPr>
          <w:p>
            <w:pPr>
              <w:jc w:val="center"/>
            </w:pPr>
            <w:r>
              <w:rPr>
                <w:rFonts w:ascii="Times New Roman" w:hAnsi="Times New Roman"/>
                <w:sz w:val="16"/>
              </w:rPr>
              <w:t>-15.0</w:t>
            </w:r>
          </w:p>
        </w:tc>
        <w:tc>
          <w:tcPr>
            <w:tcW w:type="dxa" w:w="1219"/>
            <w:shd w:fill="FFFFFF"/>
            <w:tcMar>
              <w:top w:w="50" w:type="dxa"/>
              <w:bottom w:w="50" w:type="dxa"/>
              <w:left w:w="80" w:type="dxa"/>
              <w:right w:w="80" w:type="dxa"/>
            </w:tcMar>
          </w:tcPr>
          <w:p>
            <w:pPr>
              <w:jc w:val="center"/>
            </w:pPr>
            <w:r>
              <w:rPr>
                <w:rFonts w:ascii="Times New Roman" w:hAnsi="Times New Roman"/>
                <w:sz w:val="16"/>
              </w:rPr>
              <w:t>20.44</w:t>
            </w:r>
          </w:p>
        </w:tc>
        <w:tc>
          <w:tcPr>
            <w:tcW w:type="dxa" w:w="1219"/>
            <w:shd w:fill="FFFFFF"/>
            <w:tcMar>
              <w:top w:w="50" w:type="dxa"/>
              <w:bottom w:w="50" w:type="dxa"/>
              <w:left w:w="80" w:type="dxa"/>
              <w:right w:w="80" w:type="dxa"/>
            </w:tcMar>
          </w:tcPr>
          <w:p>
            <w:pPr>
              <w:jc w:val="center"/>
            </w:pPr>
            <w:r>
              <w:rPr>
                <w:rFonts w:ascii="Times New Roman" w:hAnsi="Times New Roman"/>
                <w:sz w:val="16"/>
              </w:rPr>
              <w:t>17.44</w:t>
            </w:r>
          </w:p>
        </w:tc>
        <w:tc>
          <w:tcPr>
            <w:tcW w:type="dxa" w:w="1219"/>
            <w:shd w:fill="FFFFFF"/>
            <w:tcMar>
              <w:top w:w="50" w:type="dxa"/>
              <w:bottom w:w="50" w:type="dxa"/>
              <w:left w:w="80" w:type="dxa"/>
              <w:right w:w="80" w:type="dxa"/>
            </w:tcMar>
          </w:tcPr>
          <w:p>
            <w:pPr>
              <w:jc w:val="center"/>
            </w:pPr>
            <w:r>
              <w:rPr>
                <w:rFonts w:ascii="Times New Roman" w:hAnsi="Times New Roman"/>
                <w:sz w:val="16"/>
              </w:rPr>
              <w:t>445.89</w:t>
            </w:r>
          </w:p>
        </w:tc>
        <w:tc>
          <w:tcPr>
            <w:tcW w:type="dxa" w:w="1219"/>
            <w:shd w:fill="FFFFFF"/>
            <w:tcMar>
              <w:top w:w="50" w:type="dxa"/>
              <w:bottom w:w="50" w:type="dxa"/>
              <w:left w:w="80" w:type="dxa"/>
              <w:right w:w="80" w:type="dxa"/>
            </w:tcMar>
          </w:tcPr>
          <w:p>
            <w:pPr>
              <w:jc w:val="center"/>
            </w:pPr>
            <w:r>
              <w:rPr>
                <w:rFonts w:ascii="Times New Roman" w:hAnsi="Times New Roman"/>
                <w:sz w:val="16"/>
              </w:rPr>
              <w:t>5.26</w:t>
            </w:r>
          </w:p>
        </w:tc>
        <w:tc>
          <w:tcPr>
            <w:tcW w:type="dxa" w:w="1219"/>
            <w:shd w:fill="FFFFFF"/>
            <w:tcMar>
              <w:top w:w="50" w:type="dxa"/>
              <w:bottom w:w="50" w:type="dxa"/>
              <w:left w:w="80" w:type="dxa"/>
              <w:right w:w="80" w:type="dxa"/>
            </w:tcMar>
          </w:tcPr>
          <w:p>
            <w:pPr>
              <w:jc w:val="center"/>
            </w:pPr>
            <w:r>
              <w:rPr>
                <w:rFonts w:ascii="Times New Roman" w:hAnsi="Times New Roman"/>
                <w:sz w:val="16"/>
              </w:rPr>
              <w:t>2</w:t>
            </w:r>
          </w:p>
        </w:tc>
      </w:tr>
      <w:tr>
        <w:tc>
          <w:tcPr>
            <w:tcW w:type="dxa" w:w="1219"/>
            <w:shd w:fill="F8FAFC"/>
            <w:tcMar>
              <w:top w:w="50" w:type="dxa"/>
              <w:bottom w:w="50" w:type="dxa"/>
              <w:left w:w="80" w:type="dxa"/>
              <w:right w:w="80" w:type="dxa"/>
            </w:tcMar>
          </w:tcPr>
          <w:p>
            <w:pPr>
              <w:jc w:val="center"/>
            </w:pPr>
            <w:r>
              <w:rPr>
                <w:rFonts w:ascii="Times New Roman" w:hAnsi="Times New Roman"/>
                <w:sz w:val="16"/>
              </w:rPr>
              <w:t>sc6</w:t>
            </w:r>
          </w:p>
        </w:tc>
        <w:tc>
          <w:tcPr>
            <w:tcW w:type="dxa" w:w="1219"/>
            <w:shd w:fill="F8FAFC"/>
            <w:tcMar>
              <w:top w:w="50" w:type="dxa"/>
              <w:bottom w:w="50" w:type="dxa"/>
              <w:left w:w="80" w:type="dxa"/>
              <w:right w:w="80" w:type="dxa"/>
            </w:tcMar>
          </w:tcPr>
          <w:p>
            <w:pPr>
              <w:jc w:val="center"/>
            </w:pPr>
            <w:r>
              <w:rPr>
                <w:rFonts w:ascii="Times New Roman" w:hAnsi="Times New Roman"/>
                <w:sz w:val="16"/>
              </w:rPr>
              <w:t>Frozen Replay (t=20)</w:t>
            </w:r>
          </w:p>
        </w:tc>
        <w:tc>
          <w:tcPr>
            <w:tcW w:type="dxa" w:w="1219"/>
            <w:shd w:fill="F8FAFC"/>
            <w:tcMar>
              <w:top w:w="50" w:type="dxa"/>
              <w:bottom w:w="50" w:type="dxa"/>
              <w:left w:w="80" w:type="dxa"/>
              <w:right w:w="80" w:type="dxa"/>
            </w:tcMar>
          </w:tcPr>
          <w:p>
            <w:pPr>
              <w:jc w:val="center"/>
            </w:pPr>
            <w:r>
              <w:rPr>
                <w:rFonts w:ascii="Times New Roman" w:hAnsi="Times New Roman"/>
                <w:sz w:val="16"/>
              </w:rPr>
              <w:t>+41.0</w:t>
            </w:r>
          </w:p>
        </w:tc>
        <w:tc>
          <w:tcPr>
            <w:tcW w:type="dxa" w:w="1219"/>
            <w:shd w:fill="F8FAFC"/>
            <w:tcMar>
              <w:top w:w="50" w:type="dxa"/>
              <w:bottom w:w="50" w:type="dxa"/>
              <w:left w:w="80" w:type="dxa"/>
              <w:right w:w="80" w:type="dxa"/>
            </w:tcMar>
          </w:tcPr>
          <w:p>
            <w:pPr>
              <w:jc w:val="center"/>
            </w:pPr>
            <w:r>
              <w:rPr>
                <w:rFonts w:ascii="Times New Roman" w:hAnsi="Times New Roman"/>
                <w:sz w:val="16"/>
              </w:rPr>
              <w:t>62.33</w:t>
            </w:r>
          </w:p>
        </w:tc>
        <w:tc>
          <w:tcPr>
            <w:tcW w:type="dxa" w:w="1219"/>
            <w:shd w:fill="F8FAFC"/>
            <w:tcMar>
              <w:top w:w="50" w:type="dxa"/>
              <w:bottom w:w="50" w:type="dxa"/>
              <w:left w:w="80" w:type="dxa"/>
              <w:right w:w="80" w:type="dxa"/>
            </w:tcMar>
          </w:tcPr>
          <w:p>
            <w:pPr>
              <w:jc w:val="center"/>
            </w:pPr>
            <w:r>
              <w:rPr>
                <w:rFonts w:ascii="Times New Roman" w:hAnsi="Times New Roman"/>
                <w:sz w:val="16"/>
              </w:rPr>
              <w:t>46.12</w:t>
            </w:r>
          </w:p>
        </w:tc>
        <w:tc>
          <w:tcPr>
            <w:tcW w:type="dxa" w:w="1219"/>
            <w:shd w:fill="F8FAFC"/>
            <w:tcMar>
              <w:top w:w="50" w:type="dxa"/>
              <w:bottom w:w="50" w:type="dxa"/>
              <w:left w:w="80" w:type="dxa"/>
              <w:right w:w="80" w:type="dxa"/>
            </w:tcMar>
          </w:tcPr>
          <w:p>
            <w:pPr>
              <w:jc w:val="center"/>
            </w:pPr>
            <w:r>
              <w:rPr>
                <w:rFonts w:ascii="Times New Roman" w:hAnsi="Times New Roman"/>
                <w:sz w:val="16"/>
              </w:rPr>
              <w:t>791,878.70</w:t>
            </w:r>
          </w:p>
        </w:tc>
        <w:tc>
          <w:tcPr>
            <w:tcW w:type="dxa" w:w="1219"/>
            <w:shd w:fill="F8FAFC"/>
            <w:tcMar>
              <w:top w:w="50" w:type="dxa"/>
              <w:bottom w:w="50" w:type="dxa"/>
              <w:left w:w="80" w:type="dxa"/>
              <w:right w:w="80" w:type="dxa"/>
            </w:tcMar>
          </w:tcPr>
          <w:p>
            <w:pPr>
              <w:jc w:val="center"/>
            </w:pPr>
            <w:r>
              <w:rPr>
                <w:rFonts w:ascii="Times New Roman" w:hAnsi="Times New Roman"/>
                <w:sz w:val="16"/>
              </w:rPr>
              <w:t>100.00</w:t>
            </w:r>
          </w:p>
        </w:tc>
        <w:tc>
          <w:tcPr>
            <w:tcW w:type="dxa" w:w="1219"/>
            <w:shd w:fill="F8FAFC"/>
            <w:tcMar>
              <w:top w:w="50" w:type="dxa"/>
              <w:bottom w:w="50" w:type="dxa"/>
              <w:left w:w="80" w:type="dxa"/>
              <w:right w:w="80" w:type="dxa"/>
            </w:tcMar>
          </w:tcPr>
          <w:p>
            <w:pPr>
              <w:jc w:val="center"/>
            </w:pPr>
            <w:r>
              <w:rPr>
                <w:rFonts w:ascii="Times New Roman" w:hAnsi="Times New Roman"/>
                <w:sz w:val="16"/>
              </w:rPr>
              <w:t>4</w:t>
            </w:r>
          </w:p>
        </w:tc>
      </w:tr>
    </w:tbl>
    <w:p>
      <w:pPr>
        <w:spacing w:before="80" w:after="160"/>
        <w:jc w:val="center"/>
      </w:pPr>
      <w:r>
        <w:rPr>
          <w:rFonts w:ascii="Times New Roman" w:hAnsi="Times New Roman"/>
          <w:b/>
          <w:sz w:val="17"/>
        </w:rPr>
        <w:t>TABLE II: Sensor Manipulation Impact on Predictions and Drift Evasion (N = 100 Engines)</w:t>
      </w:r>
    </w:p>
    <w:p>
      <w:pPr>
        <w:spacing w:before="160" w:after="40"/>
        <w:jc w:val="center"/>
      </w:pPr>
    </w:p>
    <w:p>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fig2_attack_rul_shifts.png"/>
                    <pic:cNvPicPr/>
                  </pic:nvPicPr>
                  <pic:blipFill>
                    <a:blip r:embed="rId12"/>
                    <a:stretch>
                      <a:fillRect/>
                    </a:stretch>
                  </pic:blipFill>
                  <pic:spPr>
                    <a:xfrm>
                      <a:off x="0" y="0"/>
                      <a:ext cx="5669280" cy="2834640"/>
                    </a:xfrm>
                    <a:prstGeom prst="rect"/>
                  </pic:spPr>
                </pic:pic>
              </a:graphicData>
            </a:graphic>
          </wp:inline>
        </w:drawing>
      </w:r>
    </w:p>
    <w:p>
      <w:pPr>
        <w:spacing w:after="200"/>
        <w:jc w:val="center"/>
      </w:pPr>
      <w:r>
        <w:rPr>
          <w:rFonts w:ascii="Times New Roman" w:hAnsi="Times New Roman"/>
          <w:i/>
          <w:sz w:val="18"/>
        </w:rPr>
        <w:t>Fig. 2. RUL prediction shift and error distributions across six synthetic sensor attack scenarios.</w:t>
      </w:r>
    </w:p>
    <w:p>
      <w:pPr>
        <w:spacing w:before="160" w:after="40"/>
        <w:jc w:val="center"/>
      </w:pPr>
    </w:p>
    <w:p>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fig3_asymmetric_nasa_surge.png"/>
                    <pic:cNvPicPr/>
                  </pic:nvPicPr>
                  <pic:blipFill>
                    <a:blip r:embed="rId13"/>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18"/>
        </w:rPr>
        <w:t>Fig. 3. Exponential surge in NASA asymmetric penalty scores under delayed prediction scenarios.</w:t>
      </w:r>
    </w:p>
    <w:p>
      <w:pPr>
        <w:spacing w:before="160" w:after="40"/>
        <w:jc w:val="center"/>
      </w:pPr>
    </w:p>
    <w:p>
      <w:r>
        <w:drawing>
          <wp:inline xmlns:a="http://schemas.openxmlformats.org/drawingml/2006/main" xmlns:pic="http://schemas.openxmlformats.org/drawingml/2006/picture">
            <wp:extent cx="5669280" cy="2551176"/>
            <wp:docPr id="4" name="Picture 4"/>
            <wp:cNvGraphicFramePr>
              <a:graphicFrameLocks noChangeAspect="1"/>
            </wp:cNvGraphicFramePr>
            <a:graphic>
              <a:graphicData uri="http://schemas.openxmlformats.org/drawingml/2006/picture">
                <pic:pic>
                  <pic:nvPicPr>
                    <pic:cNvPr id="0" name="fig4_drift_psi_heatmap.png"/>
                    <pic:cNvPicPr/>
                  </pic:nvPicPr>
                  <pic:blipFill>
                    <a:blip r:embed="rId14"/>
                    <a:stretch>
                      <a:fillRect/>
                    </a:stretch>
                  </pic:blipFill>
                  <pic:spPr>
                    <a:xfrm>
                      <a:off x="0" y="0"/>
                      <a:ext cx="5669280" cy="2551176"/>
                    </a:xfrm>
                    <a:prstGeom prst="rect"/>
                  </pic:spPr>
                </pic:pic>
              </a:graphicData>
            </a:graphic>
          </wp:inline>
        </w:drawing>
      </w:r>
    </w:p>
    <w:p>
      <w:pPr>
        <w:spacing w:after="200"/>
        <w:jc w:val="center"/>
      </w:pPr>
      <w:r>
        <w:rPr>
          <w:rFonts w:ascii="Times New Roman" w:hAnsi="Times New Roman"/>
          <w:i/>
          <w:sz w:val="18"/>
        </w:rPr>
        <w:t>Fig. 4. Multi-channel Population Stability Index (PSI) heatmap demonstrating drift detector evasion.</w:t>
      </w:r>
    </w:p>
    <w:p>
      <w:pPr>
        <w:spacing w:before="160" w:after="60"/>
        <w:jc w:val="left"/>
      </w:pPr>
      <w:r>
        <w:rPr>
          <w:rFonts w:ascii="Times New Roman" w:hAnsi="Times New Roman"/>
          <w:b/>
          <w:i/>
          <w:sz w:val="20"/>
        </w:rPr>
        <w:t>C. Cryptographic Authentication &amp; Tamper-Proofing Verification</w:t>
      </w:r>
    </w:p>
    <w:p>
      <w:pPr>
        <w:spacing w:line="252" w:lineRule="auto" w:after="80"/>
        <w:jc w:val="both"/>
      </w:pPr>
      <w:r>
        <w:rPr>
          <w:rFonts w:ascii="Times New Roman" w:hAnsi="Times New Roman"/>
          <w:sz w:val="20"/>
        </w:rPr>
        <w:t>Subjecting the Ed25519 verified loader to 12 distinct attack vectors confirmed 100% fail-closed enforcement: all altered artifact bytecodes, corrupted signatures, and foreign keys were strictly rejected, preventing unsafe joblib deserialization.</w:t>
      </w:r>
    </w:p>
    <w:p>
      <w:pPr>
        <w:spacing w:before="160" w:after="60"/>
        <w:jc w:val="left"/>
      </w:pPr>
      <w:r>
        <w:rPr>
          <w:rFonts w:ascii="Times New Roman" w:hAnsi="Times New Roman"/>
          <w:b/>
          <w:i/>
          <w:sz w:val="20"/>
        </w:rPr>
        <w:t>D. Computational Overhead &amp; Latency Benchmarks</w:t>
      </w:r>
    </w:p>
    <w:p>
      <w:pPr>
        <w:spacing w:line="252" w:lineRule="auto" w:after="80"/>
        <w:jc w:val="both"/>
      </w:pPr>
      <w:r>
        <w:rPr>
          <w:rFonts w:ascii="Times New Roman" w:hAnsi="Times New Roman"/>
          <w:sz w:val="20"/>
        </w:rPr>
        <w:t>Microbenchmarks across N=100 independent trials confirm that pure Ed25519 signature verification requires only 0.11 ± 0.01 ms, contributing less than 0.5% of the total 24.83 ms verified startup latency. Fleet inference for 100 engines executes in 1.47 ms (14.7 µs/engine), and full 14-sensor drift screening executes in 103.23 ms.</w:t>
      </w:r>
    </w:p>
    <w:p>
      <w:pPr>
        <w:spacing w:before="160" w:after="40"/>
        <w:jc w:val="center"/>
      </w:pPr>
    </w:p>
    <w:p>
      <w:r>
        <w:drawing>
          <wp:inline xmlns:a="http://schemas.openxmlformats.org/drawingml/2006/main" xmlns:pic="http://schemas.openxmlformats.org/drawingml/2006/picture">
            <wp:extent cx="5669280" cy="3239589"/>
            <wp:docPr id="5" name="Picture 5"/>
            <wp:cNvGraphicFramePr>
              <a:graphicFrameLocks noChangeAspect="1"/>
            </wp:cNvGraphicFramePr>
            <a:graphic>
              <a:graphicData uri="http://schemas.openxmlformats.org/drawingml/2006/picture">
                <pic:pic>
                  <pic:nvPicPr>
                    <pic:cNvPr id="0" name="fig5_latency_breakdown.png"/>
                    <pic:cNvPicPr/>
                  </pic:nvPicPr>
                  <pic:blipFill>
                    <a:blip r:embed="rId15"/>
                    <a:stretch>
                      <a:fillRect/>
                    </a:stretch>
                  </pic:blipFill>
                  <pic:spPr>
                    <a:xfrm>
                      <a:off x="0" y="0"/>
                      <a:ext cx="5669280" cy="3239589"/>
                    </a:xfrm>
                    <a:prstGeom prst="rect"/>
                  </pic:spPr>
                </pic:pic>
              </a:graphicData>
            </a:graphic>
          </wp:inline>
        </w:drawing>
      </w:r>
    </w:p>
    <w:p>
      <w:pPr>
        <w:spacing w:after="200"/>
        <w:jc w:val="center"/>
      </w:pPr>
      <w:r>
        <w:rPr>
          <w:rFonts w:ascii="Times New Roman" w:hAnsi="Times New Roman"/>
          <w:i/>
          <w:sz w:val="18"/>
        </w:rPr>
        <w:t>Fig. 5. Computational latency breakdown across pipeline stages (N = 100 repetitions).</w:t>
      </w:r>
    </w:p>
    <w:p>
      <w:pPr>
        <w:spacing w:before="280" w:after="80"/>
        <w:jc w:val="center"/>
      </w:pPr>
      <w:r>
        <w:rPr>
          <w:rFonts w:ascii="Times New Roman" w:hAnsi="Times New Roman"/>
          <w:b/>
          <w:sz w:val="22"/>
        </w:rPr>
        <w:t>VI. DISCUSSION &amp; THREATS TO VALIDITY</w:t>
      </w:r>
    </w:p>
    <w:p>
      <w:pPr>
        <w:spacing w:line="252" w:lineRule="auto" w:after="80"/>
        <w:jc w:val="both"/>
      </w:pPr>
      <w:r>
        <w:rPr>
          <w:rFonts w:ascii="Times New Roman" w:hAnsi="Times New Roman"/>
          <w:sz w:val="20"/>
        </w:rPr>
        <w:t>Our findings illustrate that statistical anomaly detectors tuned for wide operational fleet tolerances exhibit inherent blind spots against stealthy perturbations. Adversaries can induce severe hazardous delays (doubling HPR) without crossing PSI alert thresholds. Consequently, predictive maintenance security requires end-to-end cryptographic integrity controls in tandem with physics-informed invariant checking.</w:t>
      </w:r>
    </w:p>
    <w:p>
      <w:pPr>
        <w:spacing w:line="252" w:lineRule="auto" w:after="80"/>
        <w:jc w:val="both"/>
      </w:pPr>
      <w:r>
        <w:rPr>
          <w:rFonts w:ascii="Times New Roman" w:hAnsi="Times New Roman"/>
          <w:sz w:val="20"/>
        </w:rPr>
        <w:t>Threats to validity include the synthetic nature of C-MAPSS simulation data, sea-level single-regime dynamics in FD001, and the advisory ground-side nature of the software, which is not an airborne certified flight-control computer.</w:t>
      </w:r>
    </w:p>
    <w:p>
      <w:pPr>
        <w:spacing w:before="280" w:after="80"/>
        <w:jc w:val="center"/>
      </w:pPr>
      <w:r>
        <w:rPr>
          <w:rFonts w:ascii="Times New Roman" w:hAnsi="Times New Roman"/>
          <w:b/>
          <w:sz w:val="22"/>
        </w:rPr>
        <w:t>VII. CONCLUSION &amp; FUTURE WORK</w:t>
      </w:r>
    </w:p>
    <w:p>
      <w:pPr>
        <w:spacing w:line="252" w:lineRule="auto" w:after="80"/>
        <w:jc w:val="both"/>
      </w:pPr>
      <w:r>
        <w:rPr>
          <w:rFonts w:ascii="Times New Roman" w:hAnsi="Times New Roman"/>
          <w:sz w:val="20"/>
        </w:rPr>
        <w:t>This investigation established the first comprehensive empirical evaluation of an integrity-assured predictive maintenance pipeline. We disambiguated dual evaluation protocols, resolved the run-to-failure censoring asymmetry, demonstrated that subtle sensor manipulations evade fleet drift screening while doubling the Hazardous Prediction Rate, and proved that Ed25519 cryptographic signing provides fail-closed artifact protection in 0.11 ms.</w:t>
      </w:r>
    </w:p>
    <w:p>
      <w:pPr>
        <w:spacing w:line="252" w:lineRule="auto" w:after="80"/>
        <w:jc w:val="both"/>
      </w:pPr>
      <w:r>
        <w:rPr>
          <w:rFonts w:ascii="Times New Roman" w:hAnsi="Times New Roman"/>
          <w:sz w:val="20"/>
        </w:rPr>
        <w:t>Future work will evaluate multi-regime envelopes (FD002/FD004) and integrate physics-informed neural network invariants.</w:t>
      </w:r>
    </w:p>
    <w:p>
      <w:pPr>
        <w:spacing w:before="280" w:after="80"/>
        <w:jc w:val="center"/>
      </w:pPr>
      <w:r>
        <w:rPr>
          <w:rFonts w:ascii="Times New Roman" w:hAnsi="Times New Roman"/>
          <w:b/>
          <w:sz w:val="22"/>
        </w:rPr>
        <w:t>DECLARATIONS &amp; ACKNOWLEDGMENTS</w:t>
      </w:r>
    </w:p>
    <w:p>
      <w:pPr>
        <w:spacing w:line="252" w:lineRule="auto" w:after="80"/>
        <w:jc w:val="both"/>
      </w:pPr>
      <w:r>
        <w:rPr>
          <w:rFonts w:ascii="Times New Roman" w:hAnsi="Times New Roman"/>
          <w:sz w:val="20"/>
        </w:rPr>
        <w:t>The authors express gratitude to the NASA Ames Prognostics Center of Excellence. No external commercial funding was received. All reproducible artifacts, scripts, and cryptographic keys are available in the AeroSentinel repository.</w:t>
      </w:r>
    </w:p>
    <w:p>
      <w:pPr>
        <w:spacing w:before="280" w:after="80"/>
        <w:jc w:val="center"/>
      </w:pPr>
      <w:r>
        <w:rPr>
          <w:rFonts w:ascii="Times New Roman" w:hAnsi="Times New Roman"/>
          <w:b/>
          <w:sz w:val="22"/>
        </w:rPr>
        <w:t>REFERENCES</w:t>
      </w:r>
    </w:p>
    <w:p>
      <w:pPr>
        <w:spacing w:line="252" w:lineRule="auto" w:after="60"/>
        <w:jc w:val="left"/>
      </w:pPr>
      <w:r>
        <w:rPr>
          <w:rFonts w:ascii="Times New Roman" w:hAnsi="Times New Roman"/>
          <w:sz w:val="17"/>
        </w:rPr>
        <w:t>[1] A. Saxena, K. Goebel, D. Simon, and N. Eklund, "Damage propagation modeling for aircraft engine run-to-failure simulation," in Proc. 2008 Int. Conf. Prognostics and Health Management (PHM), Denver, CO, USA, Oct. 2008, pp. 1–9, doi: 10.1109/PHM.2008.4711414.</w:t>
      </w:r>
    </w:p>
    <w:p>
      <w:pPr>
        <w:spacing w:line="252" w:lineRule="auto" w:after="60"/>
        <w:jc w:val="left"/>
      </w:pPr>
      <w:r>
        <w:rPr>
          <w:rFonts w:ascii="Times New Roman" w:hAnsi="Times New Roman"/>
          <w:sz w:val="17"/>
        </w:rPr>
        <w:t>[2] F. O. Heimes, "Recurrent neural networks for remaining useful life estimation," in Proc. 2008 Int. Conf. Prognostics and Health Management (PHM), Denver, CO, USA, Oct. 2008, pp. 1–6, doi: 10.1109/PHM.2008.4711422.</w:t>
      </w:r>
    </w:p>
    <w:p>
      <w:pPr>
        <w:spacing w:line="252" w:lineRule="auto" w:after="60"/>
        <w:jc w:val="left"/>
      </w:pPr>
      <w:r>
        <w:rPr>
          <w:rFonts w:ascii="Times New Roman" w:hAnsi="Times New Roman"/>
          <w:sz w:val="17"/>
        </w:rPr>
        <w:t>[3] X. Li, Q. Ding, and J.-Q. Sun, "Remaining useful life estimation in prognostics using deep convolution neural networks," Reliability Engineering &amp; System Safety, vol. 172, pp. 1–11, Apr. 2018, doi: 10.1016/j.ress.2017.11.021.</w:t>
      </w:r>
    </w:p>
    <w:p>
      <w:pPr>
        <w:spacing w:line="252" w:lineRule="auto" w:after="60"/>
        <w:jc w:val="left"/>
      </w:pPr>
      <w:r>
        <w:rPr>
          <w:rFonts w:ascii="Times New Roman" w:hAnsi="Times New Roman"/>
          <w:sz w:val="17"/>
        </w:rPr>
        <w:t>[4] N. Papernot, P. McDaniel, S. Jha, M. Fredrikson, Z. B. Celik, and A. Swami, "The limitations of deep learning in adversarial settings," in Proc. 2016 IEEE European Symp. Security and Privacy (EuroS&amp;P), Saarbrucken, Germany, Mar. 2016, pp. 372–387, doi: 10.1109/EuroSP.2016.36.</w:t>
      </w:r>
    </w:p>
    <w:p>
      <w:pPr>
        <w:spacing w:line="252" w:lineRule="auto" w:after="60"/>
        <w:jc w:val="left"/>
      </w:pPr>
      <w:r>
        <w:rPr>
          <w:rFonts w:ascii="Times New Roman" w:hAnsi="Times New Roman"/>
          <w:sz w:val="17"/>
        </w:rPr>
        <w:t>[5] E. Al-Dujaili, A. Sanyal, and U.-M. O'Reilly, "Minimizing the threat of machine learning supply chain attacks," in Proc. 2021 IEEE Security and Privacy Workshops (SPW), San Francisco, CA, USA, May 2021, pp. 312–318, doi: 10.1109/SPW53761.2021.00049.</w:t>
      </w:r>
    </w:p>
    <w:p>
      <w:pPr>
        <w:spacing w:line="252" w:lineRule="auto" w:after="60"/>
        <w:jc w:val="left"/>
      </w:pPr>
      <w:r>
        <w:rPr>
          <w:rFonts w:ascii="Times New Roman" w:hAnsi="Times New Roman"/>
          <w:sz w:val="17"/>
        </w:rPr>
        <w:t>[6] J. Boyens, A. Smith, N. Bartol, K. Winkler, and M. Paulsen, "Cybersecurity supply chain risk management practices for systems and organizations," NIST Special Publication 800-161 Rev. 1, National Institute of Standards and Technology, Gaithersburg, MD, May 2022, doi: 10.6028/NIST.SP.800-161r1.</w:t>
      </w:r>
    </w:p>
    <w:p>
      <w:pPr>
        <w:spacing w:line="252" w:lineRule="auto" w:after="60"/>
        <w:jc w:val="left"/>
      </w:pPr>
      <w:r>
        <w:rPr>
          <w:rFonts w:ascii="Times New Roman" w:hAnsi="Times New Roman"/>
          <w:sz w:val="17"/>
        </w:rPr>
        <w:t>[7] Y. Mo, T. H.-J. Kim, K. Brancik, D. Dickinson, H. Lee, A. Perrig, and B. Sinopoli, "Cyber-physical security of a smart grid: Investment strategies, attacks, and defense," IEEE Trans. Smart Grid, vol. 3, no. 2, pp. 698–709, Jun. 2012, doi: 10.1109/TSG.2012.2183894.</w:t>
      </w:r>
    </w:p>
    <w:p>
      <w:pPr>
        <w:spacing w:line="252" w:lineRule="auto" w:after="60"/>
        <w:jc w:val="left"/>
      </w:pPr>
      <w:r>
        <w:rPr>
          <w:rFonts w:ascii="Times New Roman" w:hAnsi="Times New Roman"/>
          <w:sz w:val="17"/>
        </w:rPr>
        <w:t>[8] G. Liang, J. Zhao, F. Luo, S. R. Weller, and Z. Y. Dong, "A review of false data injection attacks against modern power systems," IEEE Trans. Smart Grid, vol. 8, no. 4, pp. 1630–1638, Jul. 2017, doi: 10.1109/TSG.2015.2495126.</w:t>
      </w:r>
    </w:p>
    <w:p>
      <w:pPr>
        <w:spacing w:line="252" w:lineRule="auto" w:after="60"/>
        <w:jc w:val="left"/>
      </w:pPr>
      <w:r>
        <w:rPr>
          <w:rFonts w:ascii="Times New Roman" w:hAnsi="Times New Roman"/>
          <w:sz w:val="17"/>
        </w:rPr>
        <w:t>[9] T. Chen and C. Guestrin, "XGBoost: A scalable tree boosting system," in Proc. 22nd ACM SIGKDD Int. Conf. Knowledge Discovery and Data Mining (KDD), San Francisco, CA, USA, Aug. 2016, pp. 785–794, doi: 10.1145/2939672.2939785.</w:t>
      </w:r>
    </w:p>
    <w:p>
      <w:pPr>
        <w:spacing w:line="252" w:lineRule="auto" w:after="60"/>
        <w:jc w:val="left"/>
      </w:pPr>
      <w:r>
        <w:rPr>
          <w:rFonts w:ascii="Times New Roman" w:hAnsi="Times New Roman"/>
          <w:sz w:val="17"/>
        </w:rPr>
        <w:t>[10] E. Barker, "Recommendation for key management: Part 1 – General," NIST Special Publication 800-57 Part 1 Rev. 5, National Institute of Standards and Technology, Gaithersburg, MD, May 2020, doi: 10.6028/NIST.SP.800-57pt1r5.</w:t>
      </w:r>
    </w:p>
    <w:p>
      <w:pPr>
        <w:spacing w:line="252" w:lineRule="auto" w:after="60"/>
        <w:jc w:val="left"/>
      </w:pPr>
      <w:r>
        <w:rPr>
          <w:rFonts w:ascii="Times New Roman" w:hAnsi="Times New Roman"/>
          <w:sz w:val="17"/>
        </w:rPr>
        <w:t>[11] S. Josefsson and I. Liusvaara, "Edwards-Curve Digital Signature Algorithm (EdDSA)," RFC 8032, Internet Engineering Task Force (IETF), Jan. 2017, doi: 10.17487/RFC8032.</w:t>
      </w:r>
    </w:p>
    <w:p>
      <w:pPr>
        <w:spacing w:line="252" w:lineRule="auto" w:after="60"/>
        <w:jc w:val="left"/>
      </w:pPr>
      <w:r>
        <w:rPr>
          <w:rFonts w:ascii="Times New Roman" w:hAnsi="Times New Roman"/>
          <w:sz w:val="17"/>
        </w:rPr>
        <w:t>[12] A. Rundgren, B. Jordan, and S. Erdtman, "JSON Canonicalization Scheme (JCS)," RFC 8785, Internet Engineering Task Force (IETF), Jun. 2020, doi: 10.17487/RFC8785.</w:t>
      </w:r>
    </w:p>
    <w:p>
      <w:pPr>
        <w:spacing w:line="252" w:lineRule="auto" w:after="60"/>
        <w:jc w:val="left"/>
      </w:pPr>
      <w:r>
        <w:rPr>
          <w:rFonts w:ascii="Times New Roman" w:hAnsi="Times New Roman"/>
          <w:sz w:val="17"/>
        </w:rPr>
        <w:t>[13] European Union Aviation Safety Agency (EASA), "Notice of Proposed Amendment 2019-01: Management of information security risks," Cologne, Germany, Mar. 2019. [Online]. Available: https://www.easa.europa.eu/en/document-library/notices-of-proposed-amendment/npa-2019-01</w:t>
      </w:r>
    </w:p>
    <w:sectPr w:rsidR="00FC693F" w:rsidRPr="0006063C" w:rsidSect="00034616">
      <w:headerReference w:type="default" r:id="rId9"/>
      <w:footerReference w:type="default" r:id="rId10"/>
      <w:pgSz w:w="11909" w:h="16834"/>
      <w:pgMar w:top="1080" w:right="1080" w:bottom="1080" w:left="108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7"/>
      </w:rPr>
      <w:t>Page 1 of 10  |  AeroSentinel Research Consortium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International Journal for Science and Advance Research In Technology (IJSART) — Draft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