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color w:val="002d3b"/>
          <w:sz w:val="52"/>
          <w:szCs w:val="52"/>
        </w:rPr>
        <w:t xml:space="preserve">TAKNISER ONE GLOBE</w:t>
      </w:r>
    </w:p>
    <w:p>
      <w:pPr>
        <w:spacing w:after="400"/>
        <w:jc w:val="center"/>
      </w:pPr>
      <w:r>
        <w:rPr>
          <w:b/>
          <w:bCs/>
          <w:color w:val="009999"/>
          <w:sz w:val="24"/>
          <w:szCs w:val="24"/>
        </w:rPr>
        <w:t xml:space="preserve">100+ Years of German Engineering Heritage</w:t>
      </w:r>
    </w:p>
    <w:p>
      <w:pPr>
        <w:spacing w:after="2500"/>
        <w:jc w:val="center"/>
      </w:pPr>
      <w:r>
        <w:rPr>
          <w:i/>
          <w:iCs/>
          <w:sz w:val="22"/>
          <w:szCs w:val="22"/>
        </w:rPr>
        <w:t xml:space="preserve">Building the Future of Global Industry</w:t>
      </w:r>
    </w:p>
    <w:p>
      <w:pPr>
        <w:pBdr>
          <w:bottom w:val="single" w:color="009999" w:sz="6"/>
        </w:pBdr>
        <w:spacing w:after="200" w:before="200"/>
      </w:pPr>
    </w:p>
    <w:p>
      <w:pPr>
        <w:spacing w:after="100" w:before="1000"/>
        <w:jc w:val="center"/>
      </w:pPr>
      <w:r>
        <w:rPr>
          <w:b/>
          <w:bCs/>
          <w:color w:val="002d3b"/>
          <w:sz w:val="20"/>
          <w:szCs w:val="20"/>
        </w:rPr>
        <w:t xml:space="preserve">COMPLETE VERBATIM WEBSITE CONTENT DOCUMENT</w:t>
      </w:r>
    </w:p>
    <w:p>
      <w:pPr>
        <w:spacing w:after="1000"/>
        <w:jc w:val="center"/>
      </w:pPr>
      <w:r>
        <w:rPr>
          <w:sz w:val="18"/>
          <w:szCs w:val="18"/>
        </w:rPr>
        <w:t xml:space="preserve">Generated: August 23, 2026</w:t>
      </w:r>
    </w:p>
    <w:p>
      <w:pPr>
        <w:pageBreakBefore/>
      </w:pPr>
    </w:p>
    <w:p>
      <w:pPr>
        <w:pStyle w:val="Heading1"/>
        <w:keepNext/>
        <w:spacing w:after="200" w:before="400"/>
      </w:pPr>
      <w:r>
        <w:rPr>
          <w:b/>
          <w:bCs/>
          <w:color w:val="002d3b"/>
          <w:sz w:val="32"/>
          <w:szCs w:val="32"/>
        </w:rPr>
        <w:t xml:space="preserve">I. Homepage (Page: /)</w:t>
      </w:r>
    </w:p>
    <w:p>
      <w:pPr>
        <w:pBdr>
          <w:bottom w:val="single" w:color="009999" w:sz="6"/>
        </w:pBdr>
        <w:spacing w:after="200" w:before="200"/>
      </w:pPr>
    </w:p>
    <w:p>
      <w:pPr>
        <w:pStyle w:val="Heading2"/>
        <w:keepNext/>
        <w:spacing w:after="150" w:before="300"/>
      </w:pPr>
      <w:r>
        <w:rPr>
          <w:b/>
          <w:bCs/>
          <w:color w:val="009999"/>
          <w:sz w:val="24"/>
          <w:szCs w:val="24"/>
        </w:rPr>
        <w:t xml:space="preserve">Hero Section</w:t>
      </w:r>
    </w:p>
    <w:p>
      <w:pPr>
        <w:spacing w:after="150"/>
      </w:pPr>
      <w:r>
        <w:rPr>
          <w:sz w:val="22"/>
          <w:szCs w:val="22"/>
        </w:rPr>
        <w:t xml:space="preserve">Heading: BUILDING THE FUTURE OF GLOBAL INDUSTRY</w:t>
      </w:r>
    </w:p>
    <w:p>
      <w:pPr>
        <w:spacing w:after="150"/>
      </w:pPr>
      <w:r>
        <w:rPr>
          <w:sz w:val="22"/>
          <w:szCs w:val="22"/>
        </w:rPr>
        <w:t xml:space="preserve">Subheading: 100+ Years of German Engineering Heritage. Operating in 190+ Countries through 29 Regional Headquarters.</w:t>
      </w:r>
    </w:p>
    <w:p>
      <w:pPr>
        <w:pStyle w:val="Heading2"/>
        <w:keepNext/>
        <w:spacing w:after="150" w:before="300"/>
      </w:pPr>
      <w:r>
        <w:rPr>
          <w:b/>
          <w:bCs/>
          <w:color w:val="009999"/>
          <w:sz w:val="24"/>
          <w:szCs w:val="24"/>
        </w:rPr>
        <w:t xml:space="preserve">Strategic Ambition / Vision 2046 Section</w:t>
      </w:r>
    </w:p>
    <w:p>
      <w:pPr>
        <w:spacing w:after="150"/>
      </w:pPr>
      <w:r>
        <w:rPr>
          <w:sz w:val="22"/>
          <w:szCs w:val="22"/>
        </w:rPr>
        <w:t xml:space="preserve">Label: Our Strategic Ambition</w:t>
      </w:r>
    </w:p>
    <w:p>
      <w:pPr>
        <w:spacing w:after="150"/>
      </w:pPr>
      <w:r>
        <w:rPr>
          <w:sz w:val="22"/>
          <w:szCs w:val="22"/>
        </w:rPr>
        <w:t xml:space="preserve">Heading: Vision 2046</w:t>
      </w:r>
    </w:p>
    <w:p>
      <w:pPr>
        <w:spacing w:after="150"/>
      </w:pPr>
      <w:r>
        <w:rPr>
          <w:i/>
          <w:iCs/>
          <w:sz w:val="22"/>
          <w:szCs w:val="22"/>
        </w:rPr>
        <w:t xml:space="preserve">Quote: “To build TAKNISER into one of the world's most respected industrial, technology, manufacturing, sourcing, distribution, and global trading conglomerates by delivering innovative, sustainable, and reliable solutions across every major continent while connecting businesses, industries, and communities through one integrated global network.”</w:t>
      </w:r>
    </w:p>
    <w:p>
      <w:pPr>
        <w:spacing w:after="150"/>
      </w:pPr>
      <w:r>
        <w:rPr>
          <w:sz w:val="22"/>
          <w:szCs w:val="22"/>
        </w:rPr>
        <w:t xml:space="preserve">Pillars:</w:t>
      </w:r>
    </w:p>
    <w:p>
      <w:pPr>
        <w:pStyle w:val="ListParagraph"/>
        <w:numPr>
          <w:ilvl w:val="0"/>
          <w:numId w:val="1"/>
        </w:numPr>
        <w:spacing w:after="100"/>
      </w:pPr>
      <w:r>
        <w:rPr>
          <w:b/>
          <w:bCs/>
          <w:sz w:val="22"/>
          <w:szCs w:val="22"/>
        </w:rPr>
        <w:t xml:space="preserve">• Innovation: </w:t>
      </w:r>
      <w:r>
        <w:rPr>
          <w:sz w:val="22"/>
          <w:szCs w:val="22"/>
        </w:rPr>
        <w:t xml:space="preserve">Future-ready technologies across all sectors</w:t>
      </w:r>
    </w:p>
    <w:p>
      <w:pPr>
        <w:pStyle w:val="ListParagraph"/>
        <w:numPr>
          <w:ilvl w:val="0"/>
          <w:numId w:val="1"/>
        </w:numPr>
        <w:spacing w:after="100"/>
      </w:pPr>
      <w:r>
        <w:rPr>
          <w:b/>
          <w:bCs/>
          <w:sz w:val="22"/>
          <w:szCs w:val="22"/>
        </w:rPr>
        <w:t xml:space="preserve">• Sustainability: </w:t>
      </w:r>
      <w:r>
        <w:rPr>
          <w:sz w:val="22"/>
          <w:szCs w:val="22"/>
        </w:rPr>
        <w:t xml:space="preserve">Responsible global supply chains</w:t>
      </w:r>
    </w:p>
    <w:p>
      <w:pPr>
        <w:pStyle w:val="ListParagraph"/>
        <w:numPr>
          <w:ilvl w:val="0"/>
          <w:numId w:val="1"/>
        </w:numPr>
        <w:spacing w:after="100"/>
      </w:pPr>
      <w:r>
        <w:rPr>
          <w:b/>
          <w:bCs/>
          <w:sz w:val="22"/>
          <w:szCs w:val="22"/>
        </w:rPr>
        <w:t xml:space="preserve">• Global Expansion: </w:t>
      </w:r>
      <w:r>
        <w:rPr>
          <w:sz w:val="22"/>
          <w:szCs w:val="22"/>
        </w:rPr>
        <w:t xml:space="preserve">190+ countries and growing</w:t>
      </w:r>
    </w:p>
    <w:p>
      <w:pPr>
        <w:pStyle w:val="ListParagraph"/>
        <w:numPr>
          <w:ilvl w:val="0"/>
          <w:numId w:val="1"/>
        </w:numPr>
        <w:spacing w:after="100"/>
      </w:pPr>
      <w:r>
        <w:rPr>
          <w:b/>
          <w:bCs/>
          <w:sz w:val="22"/>
          <w:szCs w:val="22"/>
        </w:rPr>
        <w:t xml:space="preserve">• Trusted Partnerships: </w:t>
      </w:r>
      <w:r>
        <w:rPr>
          <w:sz w:val="22"/>
          <w:szCs w:val="22"/>
        </w:rPr>
        <w:t xml:space="preserve">Long-term value creation</w:t>
      </w:r>
    </w:p>
    <w:p>
      <w:pPr>
        <w:pageBreakBefore/>
      </w:pPr>
    </w:p>
    <w:p>
      <w:pPr>
        <w:pStyle w:val="Heading1"/>
        <w:keepNext/>
        <w:spacing w:after="200" w:before="400"/>
      </w:pPr>
      <w:r>
        <w:rPr>
          <w:b/>
          <w:bCs/>
          <w:color w:val="002d3b"/>
          <w:sz w:val="32"/>
          <w:szCs w:val="32"/>
        </w:rPr>
        <w:t xml:space="preserve">II. About Us Page (Page: /about)</w:t>
      </w:r>
    </w:p>
    <w:p>
      <w:pPr>
        <w:pBdr>
          <w:bottom w:val="single" w:color="009999" w:sz="6"/>
        </w:pBdr>
        <w:spacing w:after="200" w:before="200"/>
      </w:pPr>
    </w:p>
    <w:p>
      <w:pPr>
        <w:pStyle w:val="Heading2"/>
        <w:keepNext/>
        <w:spacing w:after="150" w:before="300"/>
      </w:pPr>
      <w:r>
        <w:rPr>
          <w:b/>
          <w:bCs/>
          <w:color w:val="009999"/>
          <w:sz w:val="24"/>
          <w:szCs w:val="24"/>
        </w:rPr>
        <w:t xml:space="preserve">Page Hero Section</w:t>
      </w:r>
    </w:p>
    <w:p>
      <w:pPr>
        <w:spacing w:after="150"/>
      </w:pPr>
      <w:r>
        <w:rPr>
          <w:sz w:val="22"/>
          <w:szCs w:val="22"/>
        </w:rPr>
        <w:t xml:space="preserve">Label: Corporate Heritage</w:t>
      </w:r>
    </w:p>
    <w:p>
      <w:pPr>
        <w:spacing w:after="150"/>
      </w:pPr>
      <w:r>
        <w:rPr>
          <w:sz w:val="22"/>
          <w:szCs w:val="22"/>
        </w:rPr>
        <w:t xml:space="preserve">Heading: About TAKNISER</w:t>
      </w:r>
    </w:p>
    <w:p>
      <w:pPr>
        <w:spacing w:after="150"/>
      </w:pPr>
      <w:r>
        <w:rPr>
          <w:sz w:val="22"/>
          <w:szCs w:val="22"/>
        </w:rPr>
        <w:t xml:space="preserve">Description: For more than a century, TAKNISER has represented the enduring legacy of German engineering — built upon the timeless principles of Präzision, Qualität, Zuverlässigkeit, Ingenieurskunst, and Vertrauen.</w:t>
      </w:r>
    </w:p>
    <w:p>
      <w:pPr>
        <w:pStyle w:val="Heading2"/>
        <w:keepNext/>
        <w:spacing w:after="150" w:before="300"/>
      </w:pPr>
      <w:r>
        <w:rPr>
          <w:b/>
          <w:bCs/>
          <w:color w:val="009999"/>
          <w:sz w:val="24"/>
          <w:szCs w:val="24"/>
        </w:rPr>
        <w:t xml:space="preserve">Heritage Statement</w:t>
      </w:r>
    </w:p>
    <w:p>
      <w:pPr>
        <w:spacing w:after="150"/>
      </w:pPr>
      <w:r>
        <w:rPr>
          <w:sz w:val="22"/>
          <w:szCs w:val="22"/>
        </w:rPr>
        <w:t xml:space="preserve">Label: Hesse (Hessen), Germany — Early 20th Century</w:t>
      </w:r>
    </w:p>
    <w:p>
      <w:pPr>
        <w:spacing w:after="150"/>
      </w:pPr>
      <w:r>
        <w:rPr>
          <w:sz w:val="22"/>
          <w:szCs w:val="22"/>
        </w:rPr>
        <w:t xml:space="preserve">Heading: Where German Engineering Excellence Was Born</w:t>
      </w:r>
    </w:p>
    <w:p>
      <w:pPr>
        <w:spacing w:after="150"/>
      </w:pPr>
      <w:r>
        <w:rPr>
          <w:sz w:val="22"/>
          <w:szCs w:val="22"/>
        </w:rPr>
        <w:t xml:space="preserve">Paragraph 1: The TAKNISER story began more than 100 years ago in the historic state of Hesse (Hessen), Germany, where generations of engineers built a reputation for uncompromising quality, technical expertise, and dependable industrial solutions.</w:t>
      </w:r>
    </w:p>
    <w:p>
      <w:pPr>
        <w:spacing w:after="150"/>
      </w:pPr>
      <w:r>
        <w:rPr>
          <w:sz w:val="22"/>
          <w:szCs w:val="22"/>
        </w:rPr>
        <w:t xml:space="preserve">Paragraph 2: During one of Europe's most significant periods of industrial growth, TAKNISER specialized in the engineering, modernization, maintenance, and technical support of diesel power generation systems — ensuring uninterrupted power for factories, transportation networks, public infrastructure, and essential industries.</w:t>
      </w:r>
    </w:p>
    <w:p>
      <w:pPr>
        <w:spacing w:after="150"/>
      </w:pPr>
      <w:r>
        <w:rPr>
          <w:sz w:val="22"/>
          <w:szCs w:val="22"/>
        </w:rPr>
        <w:t xml:space="preserve">Paragraph 3: From the very beginning, TAKNISER embraced the German philosophy of “Qualität vor Quantität” — Quality before Quantity. Every engineering solution reflected meticulous craftsmanship, disciplined execution, precision manufacturing, and an unwavering commitment to reliability.</w:t>
      </w:r>
    </w:p>
    <w:p>
      <w:pPr>
        <w:spacing w:after="150"/>
      </w:pPr>
      <w:r>
        <w:rPr>
          <w:i/>
          <w:iCs/>
          <w:sz w:val="22"/>
          <w:szCs w:val="22"/>
        </w:rPr>
        <w:t xml:space="preserve">Quote Panel: “These values became more than engineering principles — they became the DNA of the TAKNISER brand.”</w:t>
      </w:r>
    </w:p>
    <w:p>
      <w:pPr>
        <w:pStyle w:val="Heading2"/>
        <w:keepNext/>
        <w:spacing w:after="150" w:before="300"/>
      </w:pPr>
      <w:r>
        <w:rPr>
          <w:b/>
          <w:bCs/>
          <w:color w:val="009999"/>
          <w:sz w:val="24"/>
          <w:szCs w:val="24"/>
        </w:rPr>
        <w:t xml:space="preserve">Corporate Timeline</w:t>
      </w:r>
    </w:p>
    <w:p>
      <w:pPr>
        <w:spacing w:after="150"/>
      </w:pPr>
      <w:r>
        <w:rPr>
          <w:sz w:val="22"/>
          <w:szCs w:val="22"/>
        </w:rPr>
        <w:t xml:space="preserve">Heading: A Century of Industrial Evolution (The TAKNISER corporate journey across more than 100 years)</w:t>
      </w:r>
    </w:p>
    <w:p>
      <w:pPr>
        <w:spacing w:after="50" w:before="100"/>
      </w:pPr>
      <w:r>
        <w:rPr>
          <w:b/>
          <w:bCs/>
          <w:color w:val="002d3b"/>
          <w:sz w:val="22"/>
          <w:szCs w:val="22"/>
        </w:rPr>
        <w:t xml:space="preserve">• Early 20th Century: The German Foundation</w:t>
      </w:r>
    </w:p>
    <w:p>
      <w:pPr>
        <w:spacing w:after="150"/>
      </w:pPr>
      <w:r>
        <w:rPr>
          <w:sz w:val="22"/>
          <w:szCs w:val="22"/>
        </w:rPr>
        <w:t xml:space="preserve">The TAKNISER story began in Hesse (Hessen), Germany. Engineers built a reputation for uncompromising quality in diesel power generation systems, ensuring uninterrupted power for factories, transport networks, and public infrastructure across Europe.</w:t>
      </w:r>
    </w:p>
    <w:p>
      <w:pPr>
        <w:spacing w:after="50" w:before="100"/>
      </w:pPr>
      <w:r>
        <w:rPr>
          <w:b/>
          <w:bCs/>
          <w:color w:val="002d3b"/>
          <w:sz w:val="22"/>
          <w:szCs w:val="22"/>
        </w:rPr>
        <w:t xml:space="preserve">• Mid 20th Century: Industrial Manufacturing Expansion</w:t>
      </w:r>
    </w:p>
    <w:p>
      <w:pPr>
        <w:spacing w:after="150"/>
      </w:pPr>
      <w:r>
        <w:rPr>
          <w:sz w:val="22"/>
          <w:szCs w:val="22"/>
        </w:rPr>
        <w:t xml:space="preserve">Following the philosophy of 'Qualität vor Quantität', TAKNISER expanded into broader industrial manufacturing, meticulous craftsmanship, disciplined execution, and precision engineering across multiple sectors.</w:t>
      </w:r>
    </w:p>
    <w:p>
      <w:pPr>
        <w:spacing w:after="50" w:before="100"/>
      </w:pPr>
      <w:r>
        <w:rPr>
          <w:b/>
          <w:bCs/>
          <w:color w:val="002d3b"/>
          <w:sz w:val="22"/>
          <w:szCs w:val="22"/>
        </w:rPr>
        <w:t xml:space="preserve">• Late 20th Century: International Sourcing &amp; Procurement</w:t>
      </w:r>
    </w:p>
    <w:p>
      <w:pPr>
        <w:spacing w:after="150"/>
      </w:pPr>
      <w:r>
        <w:rPr>
          <w:sz w:val="22"/>
          <w:szCs w:val="22"/>
        </w:rPr>
        <w:t xml:space="preserve">The organization evolved into international sourcing, procurement, supply chain management, technology integration, and global logistics — establishing trading corridors across Europe, Asia, and the Americas.</w:t>
      </w:r>
    </w:p>
    <w:p>
      <w:pPr>
        <w:spacing w:after="50" w:before="100"/>
      </w:pPr>
      <w:r>
        <w:rPr>
          <w:b/>
          <w:bCs/>
          <w:color w:val="002d3b"/>
          <w:sz w:val="22"/>
          <w:szCs w:val="22"/>
        </w:rPr>
        <w:t xml:space="preserve">• Early 21st Century: Diversified Global Conglomerate</w:t>
      </w:r>
    </w:p>
    <w:p>
      <w:pPr>
        <w:spacing w:after="150"/>
      </w:pPr>
      <w:r>
        <w:rPr>
          <w:sz w:val="22"/>
          <w:szCs w:val="22"/>
        </w:rPr>
        <w:t xml:space="preserve">TAKNISER transformed into a diversified industrial organization, building 29+ Regional Headquarters and operational presence in 190+ countries across 6 continents through strategic partnerships and acquisitions.</w:t>
      </w:r>
    </w:p>
    <w:p>
      <w:pPr>
        <w:spacing w:after="50" w:before="100"/>
      </w:pPr>
      <w:r>
        <w:rPr>
          <w:b/>
          <w:bCs/>
          <w:color w:val="002d3b"/>
          <w:sz w:val="22"/>
          <w:szCs w:val="22"/>
        </w:rPr>
        <w:t xml:space="preserve">• Vision 2046: TAKNISER ONE GLOBE</w:t>
      </w:r>
    </w:p>
    <w:p>
      <w:pPr>
        <w:spacing w:after="150"/>
      </w:pPr>
      <w:r>
        <w:rPr>
          <w:sz w:val="22"/>
          <w:szCs w:val="22"/>
        </w:rPr>
        <w:t xml:space="preserve">Operating under the banner of TAKNISER ONE GLOBE — one integrated global industrial ecosystem where engineering, manufacturing, sourcing, logistics, technology, and international trade operate seamlessly without geographical boundaries.</w:t>
      </w:r>
    </w:p>
    <w:p>
      <w:pPr>
        <w:pageBreakBefore/>
      </w:pPr>
    </w:p>
    <w:p>
      <w:pPr>
        <w:pStyle w:val="Heading1"/>
        <w:keepNext/>
        <w:spacing w:after="200" w:before="400"/>
      </w:pPr>
      <w:r>
        <w:rPr>
          <w:b/>
          <w:bCs/>
          <w:color w:val="002d3b"/>
          <w:sz w:val="32"/>
          <w:szCs w:val="32"/>
        </w:rPr>
        <w:t xml:space="preserve">III. Capabilities Page (Page: /capabilities)</w:t>
      </w:r>
    </w:p>
    <w:p>
      <w:pPr>
        <w:pBdr>
          <w:bottom w:val="single" w:color="009999" w:sz="6"/>
        </w:pBdr>
        <w:spacing w:after="200" w:before="200"/>
      </w:pPr>
    </w:p>
    <w:p>
      <w:pPr>
        <w:pStyle w:val="Heading2"/>
        <w:keepNext/>
        <w:spacing w:after="150" w:before="300"/>
      </w:pPr>
      <w:r>
        <w:rPr>
          <w:b/>
          <w:bCs/>
          <w:color w:val="009999"/>
          <w:sz w:val="24"/>
          <w:szCs w:val="24"/>
        </w:rPr>
        <w:t xml:space="preserve">Page Hero Section</w:t>
      </w:r>
    </w:p>
    <w:p>
      <w:pPr>
        <w:spacing w:after="150"/>
      </w:pPr>
      <w:r>
        <w:rPr>
          <w:sz w:val="22"/>
          <w:szCs w:val="22"/>
        </w:rPr>
        <w:t xml:space="preserve">Label: Industrial Value Chain</w:t>
      </w:r>
    </w:p>
    <w:p>
      <w:pPr>
        <w:spacing w:after="150"/>
      </w:pPr>
      <w:r>
        <w:rPr>
          <w:sz w:val="22"/>
          <w:szCs w:val="22"/>
        </w:rPr>
        <w:t xml:space="preserve">Heading: Our Capabilities</w:t>
      </w:r>
    </w:p>
    <w:p>
      <w:pPr>
        <w:spacing w:after="150"/>
      </w:pPr>
      <w:r>
        <w:rPr>
          <w:sz w:val="22"/>
          <w:szCs w:val="22"/>
        </w:rPr>
        <w:t xml:space="preserve">Description: From engineering and manufacturing through to international logistics, digital transformation, and lifecycle after-sales services — TAKNISER delivers end-to-end industrial solutions across 12 integrated capability areas.</w:t>
      </w:r>
    </w:p>
    <w:p>
      <w:pPr>
        <w:pStyle w:val="Heading2"/>
        <w:keepNext/>
        <w:spacing w:after="150" w:before="300"/>
      </w:pPr>
      <w:r>
        <w:rPr>
          <w:b/>
          <w:bCs/>
          <w:color w:val="009999"/>
          <w:sz w:val="24"/>
          <w:szCs w:val="24"/>
        </w:rPr>
        <w:t xml:space="preserve">The 12 Core Capabilities</w:t>
      </w:r>
    </w:p>
    <w:p>
      <w:pPr>
        <w:pStyle w:val="ListParagraph"/>
        <w:numPr>
          <w:ilvl w:val="0"/>
          <w:numId w:val="1"/>
        </w:numPr>
        <w:spacing w:after="100"/>
      </w:pPr>
      <w:r>
        <w:rPr>
          <w:b/>
          <w:bCs/>
          <w:sz w:val="22"/>
          <w:szCs w:val="22"/>
        </w:rPr>
        <w:t xml:space="preserve">01. Engineering &amp; Technical Consulting: </w:t>
      </w:r>
      <w:r>
        <w:rPr>
          <w:sz w:val="22"/>
          <w:szCs w:val="22"/>
        </w:rPr>
        <w:t xml:space="preserve">Centennial German engineering expertise providing feasibility, system architecture, and optimization.</w:t>
      </w:r>
    </w:p>
    <w:p>
      <w:pPr>
        <w:pStyle w:val="ListParagraph"/>
        <w:numPr>
          <w:ilvl w:val="0"/>
          <w:numId w:val="1"/>
        </w:numPr>
        <w:spacing w:after="100"/>
      </w:pPr>
      <w:r>
        <w:rPr>
          <w:b/>
          <w:bCs/>
          <w:sz w:val="22"/>
          <w:szCs w:val="22"/>
        </w:rPr>
        <w:t xml:space="preserve">02. Industrial Manufacturing: </w:t>
      </w:r>
      <w:r>
        <w:rPr>
          <w:sz w:val="22"/>
          <w:szCs w:val="22"/>
        </w:rPr>
        <w:t xml:space="preserve">Precision OEM manufacturing adhering to stringent European quality and tolerance metrics.</w:t>
      </w:r>
    </w:p>
    <w:p>
      <w:pPr>
        <w:pStyle w:val="ListParagraph"/>
        <w:numPr>
          <w:ilvl w:val="0"/>
          <w:numId w:val="1"/>
        </w:numPr>
        <w:spacing w:after="100"/>
      </w:pPr>
      <w:r>
        <w:rPr>
          <w:b/>
          <w:bCs/>
          <w:sz w:val="22"/>
          <w:szCs w:val="22"/>
        </w:rPr>
        <w:t xml:space="preserve">03. Global Strategic Sourcing: </w:t>
      </w:r>
      <w:r>
        <w:rPr>
          <w:sz w:val="22"/>
          <w:szCs w:val="22"/>
        </w:rPr>
        <w:t xml:space="preserve">Direct access to strategic raw materials, critical minerals, and specialized industrial components.</w:t>
      </w:r>
    </w:p>
    <w:p>
      <w:pPr>
        <w:pStyle w:val="ListParagraph"/>
        <w:numPr>
          <w:ilvl w:val="0"/>
          <w:numId w:val="1"/>
        </w:numPr>
        <w:spacing w:after="100"/>
      </w:pPr>
      <w:r>
        <w:rPr>
          <w:b/>
          <w:bCs/>
          <w:sz w:val="22"/>
          <w:szCs w:val="22"/>
        </w:rPr>
        <w:t xml:space="preserve">04. International Procurement: </w:t>
      </w:r>
      <w:r>
        <w:rPr>
          <w:sz w:val="22"/>
          <w:szCs w:val="22"/>
        </w:rPr>
        <w:t xml:space="preserve">End-to-end multi-currency procurement for institutional, utility, and government contracts.</w:t>
      </w:r>
    </w:p>
    <w:p>
      <w:pPr>
        <w:pStyle w:val="ListParagraph"/>
        <w:numPr>
          <w:ilvl w:val="0"/>
          <w:numId w:val="1"/>
        </w:numPr>
        <w:spacing w:after="100"/>
      </w:pPr>
      <w:r>
        <w:rPr>
          <w:b/>
          <w:bCs/>
          <w:sz w:val="22"/>
          <w:szCs w:val="22"/>
        </w:rPr>
        <w:t xml:space="preserve">05. EPC Support &amp; Project Supply: </w:t>
      </w:r>
      <w:r>
        <w:rPr>
          <w:sz w:val="22"/>
          <w:szCs w:val="22"/>
        </w:rPr>
        <w:t xml:space="preserve">Turnkey equipment supply and engineering support for mega Engineering, Procurement &amp; Construction projects.</w:t>
      </w:r>
    </w:p>
    <w:p>
      <w:pPr>
        <w:pStyle w:val="ListParagraph"/>
        <w:numPr>
          <w:ilvl w:val="0"/>
          <w:numId w:val="1"/>
        </w:numPr>
        <w:spacing w:after="100"/>
      </w:pPr>
      <w:r>
        <w:rPr>
          <w:b/>
          <w:bCs/>
          <w:sz w:val="22"/>
          <w:szCs w:val="22"/>
        </w:rPr>
        <w:t xml:space="preserve">06. Global Supply Chain Management: </w:t>
      </w:r>
      <w:r>
        <w:rPr>
          <w:sz w:val="22"/>
          <w:szCs w:val="22"/>
        </w:rPr>
        <w:t xml:space="preserve">Resilient supply chain mapping, risk mitigation, and real-time inventory tracking.</w:t>
      </w:r>
    </w:p>
    <w:p>
      <w:pPr>
        <w:pStyle w:val="ListParagraph"/>
        <w:numPr>
          <w:ilvl w:val="0"/>
          <w:numId w:val="1"/>
        </w:numPr>
        <w:spacing w:after="100"/>
      </w:pPr>
      <w:r>
        <w:rPr>
          <w:b/>
          <w:bCs/>
          <w:sz w:val="22"/>
          <w:szCs w:val="22"/>
        </w:rPr>
        <w:t xml:space="preserve">07. International Logistics: </w:t>
      </w:r>
      <w:r>
        <w:rPr>
          <w:sz w:val="22"/>
          <w:szCs w:val="22"/>
        </w:rPr>
        <w:t xml:space="preserve">Multi-modal sea, air, and overland freight powered by global strategic hubs including JAFZA.</w:t>
      </w:r>
    </w:p>
    <w:p>
      <w:pPr>
        <w:pStyle w:val="ListParagraph"/>
        <w:numPr>
          <w:ilvl w:val="0"/>
          <w:numId w:val="1"/>
        </w:numPr>
        <w:spacing w:after="100"/>
      </w:pPr>
      <w:r>
        <w:rPr>
          <w:b/>
          <w:bCs/>
          <w:sz w:val="22"/>
          <w:szCs w:val="22"/>
        </w:rPr>
        <w:t xml:space="preserve">08. Distribution &amp; Channel Development: </w:t>
      </w:r>
      <w:r>
        <w:rPr>
          <w:sz w:val="22"/>
          <w:szCs w:val="22"/>
        </w:rPr>
        <w:t xml:space="preserve">Global partner onboarding and international distribution network expansion.</w:t>
      </w:r>
    </w:p>
    <w:p>
      <w:pPr>
        <w:pStyle w:val="ListParagraph"/>
        <w:numPr>
          <w:ilvl w:val="0"/>
          <w:numId w:val="1"/>
        </w:numPr>
        <w:spacing w:after="100"/>
      </w:pPr>
      <w:r>
        <w:rPr>
          <w:b/>
          <w:bCs/>
          <w:sz w:val="22"/>
          <w:szCs w:val="22"/>
        </w:rPr>
        <w:t xml:space="preserve">09. Industrial Technology Solutions: </w:t>
      </w:r>
      <w:r>
        <w:rPr>
          <w:sz w:val="22"/>
          <w:szCs w:val="22"/>
        </w:rPr>
        <w:t xml:space="preserve">Custom Industry 4.0 integration, sensor networks, and SCADA infrastructure.</w:t>
      </w:r>
    </w:p>
    <w:p>
      <w:pPr>
        <w:pStyle w:val="ListParagraph"/>
        <w:numPr>
          <w:ilvl w:val="0"/>
          <w:numId w:val="1"/>
        </w:numPr>
        <w:spacing w:after="100"/>
      </w:pPr>
      <w:r>
        <w:rPr>
          <w:b/>
          <w:bCs/>
          <w:sz w:val="22"/>
          <w:szCs w:val="22"/>
        </w:rPr>
        <w:t xml:space="preserve">10. Digital Transformation: </w:t>
      </w:r>
      <w:r>
        <w:rPr>
          <w:sz w:val="22"/>
          <w:szCs w:val="22"/>
        </w:rPr>
        <w:t xml:space="preserve">Cloud integration, digital twin modeling, and enterprise industrial IoT software.</w:t>
      </w:r>
    </w:p>
    <w:p>
      <w:pPr>
        <w:pStyle w:val="ListParagraph"/>
        <w:numPr>
          <w:ilvl w:val="0"/>
          <w:numId w:val="1"/>
        </w:numPr>
        <w:spacing w:after="100"/>
      </w:pPr>
      <w:r>
        <w:rPr>
          <w:b/>
          <w:bCs/>
          <w:sz w:val="22"/>
          <w:szCs w:val="22"/>
        </w:rPr>
        <w:t xml:space="preserve">11. Infrastructure Development: </w:t>
      </w:r>
      <w:r>
        <w:rPr>
          <w:sz w:val="22"/>
          <w:szCs w:val="22"/>
        </w:rPr>
        <w:t xml:space="preserve">Power generation, smart grid, power distribution, and transport infrastructure projects.</w:t>
      </w:r>
    </w:p>
    <w:p>
      <w:pPr>
        <w:pStyle w:val="ListParagraph"/>
        <w:numPr>
          <w:ilvl w:val="0"/>
          <w:numId w:val="1"/>
        </w:numPr>
        <w:spacing w:after="100"/>
      </w:pPr>
      <w:r>
        <w:rPr>
          <w:b/>
          <w:bCs/>
          <w:sz w:val="22"/>
          <w:szCs w:val="22"/>
        </w:rPr>
        <w:t xml:space="preserve">12. Lifecycle Technical &amp; After-Sales Services: </w:t>
      </w:r>
      <w:r>
        <w:rPr>
          <w:sz w:val="22"/>
          <w:szCs w:val="22"/>
        </w:rPr>
        <w:t xml:space="preserve">Long-term maintenance, spare part management, retrofitting, and technical overhaul.</w:t>
      </w:r>
    </w:p>
    <w:p>
      <w:pPr>
        <w:pStyle w:val="Heading2"/>
        <w:keepNext/>
        <w:spacing w:after="150" w:before="300"/>
      </w:pPr>
      <w:r>
        <w:rPr>
          <w:b/>
          <w:bCs/>
          <w:color w:val="009999"/>
          <w:sz w:val="24"/>
          <w:szCs w:val="24"/>
        </w:rPr>
        <w:t xml:space="preserve">Integrated Value Chain Flow</w:t>
      </w:r>
    </w:p>
    <w:p>
      <w:pPr>
        <w:spacing w:after="150"/>
      </w:pPr>
      <w:r>
        <w:rPr>
          <w:b/>
          <w:bCs/>
          <w:sz w:val="22"/>
          <w:szCs w:val="22"/>
        </w:rPr>
        <w:t xml:space="preserve">Value Chain Sequence: Engineering → Manufacturing → Sourcing → Procurement → EPC Supply → Supply Chain → Logistics → Distribution → Technology → Digital → Infrastructure → After-Sales</w:t>
      </w:r>
    </w:p>
    <w:p>
      <w:pPr>
        <w:pageBreakBefore/>
      </w:pPr>
    </w:p>
    <w:p>
      <w:pPr>
        <w:pStyle w:val="Heading1"/>
        <w:keepNext/>
        <w:spacing w:after="200" w:before="400"/>
      </w:pPr>
      <w:r>
        <w:rPr>
          <w:b/>
          <w:bCs/>
          <w:color w:val="002d3b"/>
          <w:sz w:val="32"/>
          <w:szCs w:val="32"/>
        </w:rPr>
        <w:t xml:space="preserve">IV. Industries Served Page (Page: /industries)</w:t>
      </w:r>
    </w:p>
    <w:p>
      <w:pPr>
        <w:pBdr>
          <w:bottom w:val="single" w:color="009999" w:sz="6"/>
        </w:pBdr>
        <w:spacing w:after="200" w:before="200"/>
      </w:pPr>
    </w:p>
    <w:p>
      <w:pPr>
        <w:pStyle w:val="Heading2"/>
        <w:keepNext/>
        <w:spacing w:after="150" w:before="300"/>
      </w:pPr>
      <w:r>
        <w:rPr>
          <w:b/>
          <w:bCs/>
          <w:color w:val="009999"/>
          <w:sz w:val="24"/>
          <w:szCs w:val="24"/>
        </w:rPr>
        <w:t xml:space="preserve">Page Hero Section</w:t>
      </w:r>
    </w:p>
    <w:p>
      <w:pPr>
        <w:spacing w:after="150"/>
      </w:pPr>
      <w:r>
        <w:rPr>
          <w:sz w:val="22"/>
          <w:szCs w:val="22"/>
        </w:rPr>
        <w:t xml:space="preserve">Label: Target Sectors</w:t>
      </w:r>
    </w:p>
    <w:p>
      <w:pPr>
        <w:spacing w:after="150"/>
      </w:pPr>
      <w:r>
        <w:rPr>
          <w:sz w:val="22"/>
          <w:szCs w:val="22"/>
        </w:rPr>
        <w:t xml:space="preserve">Heading: Industries We Serve</w:t>
      </w:r>
    </w:p>
    <w:p>
      <w:pPr>
        <w:spacing w:after="150"/>
      </w:pPr>
      <w:r>
        <w:rPr>
          <w:sz w:val="22"/>
          <w:szCs w:val="22"/>
        </w:rPr>
        <w:t xml:space="preserve">Description: TAKNISER ONE GLOBE's diversified portfolio serves twelve of the world's most essential industrial sectors — providing products, technologies, sourcing, and integrated supply chain solutions.</w:t>
      </w:r>
    </w:p>
    <w:p>
      <w:pPr>
        <w:pStyle w:val="Heading2"/>
        <w:keepNext/>
        <w:spacing w:after="150" w:before="300"/>
      </w:pPr>
      <w:r>
        <w:rPr>
          <w:b/>
          <w:bCs/>
          <w:color w:val="009999"/>
          <w:sz w:val="24"/>
          <w:szCs w:val="24"/>
        </w:rPr>
        <w:t xml:space="preserve">The 12 Target Industries</w:t>
      </w:r>
    </w:p>
    <w:p>
      <w:pPr>
        <w:pStyle w:val="ListParagraph"/>
        <w:numPr>
          <w:ilvl w:val="0"/>
          <w:numId w:val="1"/>
        </w:numPr>
        <w:spacing w:after="100"/>
      </w:pPr>
      <w:r>
        <w:rPr>
          <w:b/>
          <w:bCs/>
          <w:sz w:val="22"/>
          <w:szCs w:val="22"/>
        </w:rPr>
        <w:t xml:space="preserve">01. Electrical Infrastructure: </w:t>
      </w:r>
      <w:r>
        <w:rPr>
          <w:sz w:val="22"/>
          <w:szCs w:val="22"/>
        </w:rPr>
        <w:t xml:space="preserve">Substations, high-voltage transformers, grid distribution, and power quality.</w:t>
      </w:r>
    </w:p>
    <w:p>
      <w:pPr>
        <w:pStyle w:val="ListParagraph"/>
        <w:numPr>
          <w:ilvl w:val="0"/>
          <w:numId w:val="1"/>
        </w:numPr>
        <w:spacing w:after="100"/>
      </w:pPr>
      <w:r>
        <w:rPr>
          <w:b/>
          <w:bCs/>
          <w:sz w:val="22"/>
          <w:szCs w:val="22"/>
        </w:rPr>
        <w:t xml:space="preserve">02. Energy: </w:t>
      </w:r>
      <w:r>
        <w:rPr>
          <w:sz w:val="22"/>
          <w:szCs w:val="22"/>
        </w:rPr>
        <w:t xml:space="preserve">Conventional power systems, renewable integration, hydrogen, and storage.</w:t>
      </w:r>
    </w:p>
    <w:p>
      <w:pPr>
        <w:pStyle w:val="ListParagraph"/>
        <w:numPr>
          <w:ilvl w:val="0"/>
          <w:numId w:val="1"/>
        </w:numPr>
        <w:spacing w:after="100"/>
      </w:pPr>
      <w:r>
        <w:rPr>
          <w:b/>
          <w:bCs/>
          <w:sz w:val="22"/>
          <w:szCs w:val="22"/>
        </w:rPr>
        <w:t xml:space="preserve">03. Automation: </w:t>
      </w:r>
      <w:r>
        <w:rPr>
          <w:sz w:val="22"/>
          <w:szCs w:val="22"/>
        </w:rPr>
        <w:t xml:space="preserve">Programmable logic controllers, industrial sensors, and SCADA systems.</w:t>
      </w:r>
    </w:p>
    <w:p>
      <w:pPr>
        <w:pStyle w:val="ListParagraph"/>
        <w:numPr>
          <w:ilvl w:val="0"/>
          <w:numId w:val="1"/>
        </w:numPr>
        <w:spacing w:after="100"/>
      </w:pPr>
      <w:r>
        <w:rPr>
          <w:b/>
          <w:bCs/>
          <w:sz w:val="22"/>
          <w:szCs w:val="22"/>
        </w:rPr>
        <w:t xml:space="preserve">04. Industrial Machinery: </w:t>
      </w:r>
      <w:r>
        <w:rPr>
          <w:sz w:val="22"/>
          <w:szCs w:val="22"/>
        </w:rPr>
        <w:t xml:space="preserve">Heavy tooling, CNC systems, hydraulic power units, and diesel generators.</w:t>
      </w:r>
    </w:p>
    <w:p>
      <w:pPr>
        <w:pStyle w:val="ListParagraph"/>
        <w:numPr>
          <w:ilvl w:val="0"/>
          <w:numId w:val="1"/>
        </w:numPr>
        <w:spacing w:after="100"/>
      </w:pPr>
      <w:r>
        <w:rPr>
          <w:b/>
          <w:bCs/>
          <w:sz w:val="22"/>
          <w:szCs w:val="22"/>
        </w:rPr>
        <w:t xml:space="preserve">05. Engineered Products: </w:t>
      </w:r>
      <w:r>
        <w:rPr>
          <w:sz w:val="22"/>
          <w:szCs w:val="22"/>
        </w:rPr>
        <w:t xml:space="preserve">Precision valves, custom metallurgy, high-pressure fittings, and bearings.</w:t>
      </w:r>
    </w:p>
    <w:p>
      <w:pPr>
        <w:pStyle w:val="ListParagraph"/>
        <w:numPr>
          <w:ilvl w:val="0"/>
          <w:numId w:val="1"/>
        </w:numPr>
        <w:spacing w:after="100"/>
      </w:pPr>
      <w:r>
        <w:rPr>
          <w:b/>
          <w:bCs/>
          <w:sz w:val="22"/>
          <w:szCs w:val="22"/>
        </w:rPr>
        <w:t xml:space="preserve">06. Electronics: </w:t>
      </w:r>
      <w:r>
        <w:rPr>
          <w:sz w:val="22"/>
          <w:szCs w:val="22"/>
        </w:rPr>
        <w:t xml:space="preserve">Semiconductors, printed circuit board assemblies, and microelectronics.</w:t>
      </w:r>
    </w:p>
    <w:p>
      <w:pPr>
        <w:pStyle w:val="ListParagraph"/>
        <w:numPr>
          <w:ilvl w:val="0"/>
          <w:numId w:val="1"/>
        </w:numPr>
        <w:spacing w:after="100"/>
      </w:pPr>
      <w:r>
        <w:rPr>
          <w:b/>
          <w:bCs/>
          <w:sz w:val="22"/>
          <w:szCs w:val="22"/>
        </w:rPr>
        <w:t xml:space="preserve">07. Construction Materials: </w:t>
      </w:r>
      <w:r>
        <w:rPr>
          <w:sz w:val="22"/>
          <w:szCs w:val="22"/>
        </w:rPr>
        <w:t xml:space="preserve">Structural steel, specialized glass, coating solutions, and composite materials.</w:t>
      </w:r>
    </w:p>
    <w:p>
      <w:pPr>
        <w:pStyle w:val="ListParagraph"/>
        <w:numPr>
          <w:ilvl w:val="0"/>
          <w:numId w:val="1"/>
        </w:numPr>
        <w:spacing w:after="100"/>
      </w:pPr>
      <w:r>
        <w:rPr>
          <w:b/>
          <w:bCs/>
          <w:sz w:val="22"/>
          <w:szCs w:val="22"/>
        </w:rPr>
        <w:t xml:space="preserve">08. Transportation: </w:t>
      </w:r>
      <w:r>
        <w:rPr>
          <w:sz w:val="22"/>
          <w:szCs w:val="22"/>
        </w:rPr>
        <w:t xml:space="preserve">Rail transport components, marine diesel systems, and aerospace assemblies.</w:t>
      </w:r>
    </w:p>
    <w:p>
      <w:pPr>
        <w:pStyle w:val="ListParagraph"/>
        <w:numPr>
          <w:ilvl w:val="0"/>
          <w:numId w:val="1"/>
        </w:numPr>
        <w:spacing w:after="100"/>
      </w:pPr>
      <w:r>
        <w:rPr>
          <w:b/>
          <w:bCs/>
          <w:sz w:val="22"/>
          <w:szCs w:val="22"/>
        </w:rPr>
        <w:t xml:space="preserve">09. Smart Technologies: </w:t>
      </w:r>
      <w:r>
        <w:rPr>
          <w:sz w:val="22"/>
          <w:szCs w:val="22"/>
        </w:rPr>
        <w:t xml:space="preserve">IoT gateways, smart meters, predictive maintenance sensors, and cloud hubs.</w:t>
      </w:r>
    </w:p>
    <w:p>
      <w:pPr>
        <w:pStyle w:val="ListParagraph"/>
        <w:numPr>
          <w:ilvl w:val="0"/>
          <w:numId w:val="1"/>
        </w:numPr>
        <w:spacing w:after="100"/>
      </w:pPr>
      <w:r>
        <w:rPr>
          <w:b/>
          <w:bCs/>
          <w:sz w:val="22"/>
          <w:szCs w:val="22"/>
        </w:rPr>
        <w:t xml:space="preserve">10. Industrial Components: </w:t>
      </w:r>
      <w:r>
        <w:rPr>
          <w:sz w:val="22"/>
          <w:szCs w:val="22"/>
        </w:rPr>
        <w:t xml:space="preserve">Fasteners, seals, specialized motors, drives, and power transmission.</w:t>
      </w:r>
    </w:p>
    <w:p>
      <w:pPr>
        <w:pStyle w:val="ListParagraph"/>
        <w:numPr>
          <w:ilvl w:val="0"/>
          <w:numId w:val="1"/>
        </w:numPr>
        <w:spacing w:after="100"/>
      </w:pPr>
      <w:r>
        <w:rPr>
          <w:b/>
          <w:bCs/>
          <w:sz w:val="22"/>
          <w:szCs w:val="22"/>
        </w:rPr>
        <w:t xml:space="preserve">11. Consumer Products: </w:t>
      </w:r>
      <w:r>
        <w:rPr>
          <w:sz w:val="22"/>
          <w:szCs w:val="22"/>
        </w:rPr>
        <w:t xml:space="preserve">Smart home appliances, wellness hardware, and high-spec consumer goods.</w:t>
      </w:r>
    </w:p>
    <w:p>
      <w:pPr>
        <w:pStyle w:val="ListParagraph"/>
        <w:numPr>
          <w:ilvl w:val="0"/>
          <w:numId w:val="1"/>
        </w:numPr>
        <w:spacing w:after="100"/>
      </w:pPr>
      <w:r>
        <w:rPr>
          <w:b/>
          <w:bCs/>
          <w:sz w:val="22"/>
          <w:szCs w:val="22"/>
        </w:rPr>
        <w:t xml:space="preserve">12. Integrated Supply Chain Solutions: </w:t>
      </w:r>
      <w:r>
        <w:rPr>
          <w:sz w:val="22"/>
          <w:szCs w:val="22"/>
        </w:rPr>
        <w:t xml:space="preserve">Cross-docking, warehousing automation, and global trade compliance.</w:t>
      </w:r>
    </w:p>
    <w:p>
      <w:pPr>
        <w:pStyle w:val="Heading2"/>
        <w:keepNext/>
        <w:spacing w:after="150" w:before="300"/>
      </w:pPr>
      <w:r>
        <w:rPr>
          <w:b/>
          <w:bCs/>
          <w:color w:val="009999"/>
          <w:sz w:val="24"/>
          <w:szCs w:val="24"/>
        </w:rPr>
        <w:t xml:space="preserve">Who We Work With</w:t>
      </w:r>
    </w:p>
    <w:p>
      <w:pPr>
        <w:spacing w:after="150"/>
      </w:pPr>
      <w:r>
        <w:rPr>
          <w:i/>
          <w:iCs/>
          <w:sz w:val="22"/>
          <w:szCs w:val="22"/>
        </w:rPr>
        <w:t xml:space="preserve">Audience Groups: Global Manufacturers, Governments &amp; Utilities, EPC Contractors, OEMs, Infrastructure Developers, Industrial Enterprises, Distributors, System Integrators, Institutional Buyers, Multinational Corporations.</w:t>
      </w:r>
    </w:p>
    <w:p>
      <w:pPr>
        <w:pageBreakBefore/>
      </w:pPr>
    </w:p>
    <w:p>
      <w:pPr>
        <w:pStyle w:val="Heading1"/>
        <w:keepNext/>
        <w:spacing w:after="200" w:before="400"/>
      </w:pPr>
      <w:r>
        <w:rPr>
          <w:b/>
          <w:bCs/>
          <w:color w:val="002d3b"/>
          <w:sz w:val="32"/>
          <w:szCs w:val="32"/>
        </w:rPr>
        <w:t xml:space="preserve">V. Business Divisions Page (Page: /divisions)</w:t>
      </w:r>
    </w:p>
    <w:p>
      <w:pPr>
        <w:pBdr>
          <w:bottom w:val="single" w:color="009999" w:sz="6"/>
        </w:pBdr>
        <w:spacing w:after="200" w:before="200"/>
      </w:pPr>
    </w:p>
    <w:p>
      <w:pPr>
        <w:pStyle w:val="Heading2"/>
        <w:keepNext/>
        <w:spacing w:after="150" w:before="300"/>
      </w:pPr>
      <w:r>
        <w:rPr>
          <w:b/>
          <w:bCs/>
          <w:color w:val="009999"/>
          <w:sz w:val="24"/>
          <w:szCs w:val="24"/>
        </w:rPr>
        <w:t xml:space="preserve">Page Hero Section</w:t>
      </w:r>
    </w:p>
    <w:p>
      <w:pPr>
        <w:spacing w:after="150"/>
      </w:pPr>
      <w:r>
        <w:rPr>
          <w:sz w:val="22"/>
          <w:szCs w:val="22"/>
        </w:rPr>
        <w:t xml:space="preserve">Label: TAKNISER Conglomerate Portfolio</w:t>
      </w:r>
    </w:p>
    <w:p>
      <w:pPr>
        <w:spacing w:after="150"/>
      </w:pPr>
      <w:r>
        <w:rPr>
          <w:sz w:val="22"/>
          <w:szCs w:val="22"/>
        </w:rPr>
        <w:t xml:space="preserve">Heading: Our Business Divisions</w:t>
      </w:r>
    </w:p>
    <w:p>
      <w:pPr>
        <w:spacing w:after="150"/>
      </w:pPr>
      <w:r>
        <w:rPr>
          <w:sz w:val="22"/>
          <w:szCs w:val="22"/>
        </w:rPr>
        <w:t xml:space="preserve">Description: Seven transformative sectors, one integrated global platform. TAKNISER ONE GLOBE connects industrial manufacturing, space economy, strategic minerals, AgTech, LifeCare, intelligent robotics, and international trade.</w:t>
      </w:r>
    </w:p>
    <w:p>
      <w:pPr>
        <w:pStyle w:val="Heading2"/>
        <w:keepNext/>
        <w:spacing w:after="150" w:before="300"/>
      </w:pPr>
      <w:r>
        <w:rPr>
          <w:b/>
          <w:bCs/>
          <w:color w:val="009999"/>
          <w:sz w:val="24"/>
          <w:szCs w:val="24"/>
        </w:rPr>
        <w:t xml:space="preserve">The 7 Business Divisions</w:t>
      </w:r>
    </w:p>
    <w:p>
      <w:pPr>
        <w:spacing w:after="50" w:before="200"/>
      </w:pPr>
      <w:r>
        <w:rPr>
          <w:b/>
          <w:bCs/>
          <w:color w:val="002d3b"/>
          <w:sz w:val="24"/>
          <w:szCs w:val="24"/>
        </w:rPr>
        <w:t xml:space="preserve">Division 001: Space Economy</w:t>
      </w:r>
    </w:p>
    <w:p>
      <w:pPr>
        <w:spacing w:after="150"/>
      </w:pPr>
      <w:r>
        <w:rPr>
          <w:b/>
          <w:bCs/>
          <w:sz w:val="22"/>
          <w:szCs w:val="22"/>
        </w:rPr>
        <w:t xml:space="preserve">Tagline: Driving the future beyond Earth through advanced space technologies and global aerospace partnerships.</w:t>
      </w:r>
    </w:p>
    <w:p>
      <w:pPr>
        <w:spacing w:after="150"/>
      </w:pPr>
      <w:r>
        <w:rPr>
          <w:sz w:val="22"/>
          <w:szCs w:val="22"/>
        </w:rPr>
        <w:t xml:space="preserve">Description: Specialized engineering, satellite components, launch support systems, and orbital electronics empowering next-generation space exploration and communication networks.</w:t>
      </w:r>
    </w:p>
    <w:p>
      <w:pPr>
        <w:spacing w:after="150"/>
      </w:pPr>
      <w:r>
        <w:rPr>
          <w:sz w:val="22"/>
          <w:szCs w:val="22"/>
        </w:rPr>
        <w:t xml:space="preserve">Product &amp; Service Categories: Satellite Components, Space Communications, Earth Observation, Space Electronics, Launch Support Technologies</w:t>
      </w:r>
    </w:p>
    <w:p>
      <w:pPr>
        <w:pBdr>
          <w:bottom w:val="single" w:color="009999" w:sz="6"/>
        </w:pBdr>
        <w:spacing w:after="200" w:before="200"/>
      </w:pPr>
    </w:p>
    <w:p>
      <w:pPr>
        <w:spacing w:after="50" w:before="200"/>
      </w:pPr>
      <w:r>
        <w:rPr>
          <w:b/>
          <w:bCs/>
          <w:color w:val="002d3b"/>
          <w:sz w:val="24"/>
          <w:szCs w:val="24"/>
        </w:rPr>
        <w:t xml:space="preserve">Division 002: Mining &amp; Minerals</w:t>
      </w:r>
    </w:p>
    <w:p>
      <w:pPr>
        <w:spacing w:after="150"/>
      </w:pPr>
      <w:r>
        <w:rPr>
          <w:b/>
          <w:bCs/>
          <w:sz w:val="22"/>
          <w:szCs w:val="22"/>
        </w:rPr>
        <w:t xml:space="preserve">Tagline: Supporting the world's industrial growth through responsible mining, processing, sourcing, and global trading of strategic minerals.</w:t>
      </w:r>
    </w:p>
    <w:p>
      <w:pPr>
        <w:spacing w:after="150"/>
      </w:pPr>
      <w:r>
        <w:rPr>
          <w:sz w:val="22"/>
          <w:szCs w:val="22"/>
        </w:rPr>
        <w:t xml:space="preserve">Description: Global strategic sourcing and critical mineral supply chains supplying essential metals and rare earth elements for green transition, electronics, and global heavy industry.</w:t>
      </w:r>
    </w:p>
    <w:p>
      <w:pPr>
        <w:spacing w:after="150"/>
      </w:pPr>
      <w:r>
        <w:rPr>
          <w:sz w:val="22"/>
          <w:szCs w:val="22"/>
        </w:rPr>
        <w:t xml:space="preserve">Product &amp; Service Categories: Copper, Lithium, Nickel, Rare Earth Elements, Aluminum, Graphite, Critical Mineral Trading, Coal</w:t>
      </w:r>
    </w:p>
    <w:p>
      <w:pPr>
        <w:pBdr>
          <w:bottom w:val="single" w:color="009999" w:sz="6"/>
        </w:pBdr>
        <w:spacing w:after="200" w:before="200"/>
      </w:pPr>
    </w:p>
    <w:p>
      <w:pPr>
        <w:spacing w:after="50" w:before="200"/>
      </w:pPr>
      <w:r>
        <w:rPr>
          <w:b/>
          <w:bCs/>
          <w:color w:val="002d3b"/>
          <w:sz w:val="24"/>
          <w:szCs w:val="24"/>
        </w:rPr>
        <w:t xml:space="preserve">Division 003: AgTech</w:t>
      </w:r>
    </w:p>
    <w:p>
      <w:pPr>
        <w:spacing w:after="150"/>
      </w:pPr>
      <w:r>
        <w:rPr>
          <w:b/>
          <w:bCs/>
          <w:sz w:val="22"/>
          <w:szCs w:val="22"/>
        </w:rPr>
        <w:t xml:space="preserve">Tagline: Building sustainable agriculture through modern farming technologies, food processing, and global Agri supply chains.</w:t>
      </w:r>
    </w:p>
    <w:p>
      <w:pPr>
        <w:spacing w:after="150"/>
      </w:pPr>
      <w:r>
        <w:rPr>
          <w:sz w:val="22"/>
          <w:szCs w:val="22"/>
        </w:rPr>
        <w:t xml:space="preserve">Description: Advanced precision irrigation, high-yield seeds, eco-friendly fertilizers, and automated food processing equipment ensuring global food security.</w:t>
      </w:r>
    </w:p>
    <w:p>
      <w:pPr>
        <w:spacing w:after="150"/>
      </w:pPr>
      <w:r>
        <w:rPr>
          <w:sz w:val="22"/>
          <w:szCs w:val="22"/>
        </w:rPr>
        <w:t xml:space="preserve">Product &amp; Service Categories: Irrigation Systems, Fertilizers, Seeds, Agricultural Machinery, Food Processing</w:t>
      </w:r>
    </w:p>
    <w:p>
      <w:pPr>
        <w:pBdr>
          <w:bottom w:val="single" w:color="009999" w:sz="6"/>
        </w:pBdr>
        <w:spacing w:after="200" w:before="200"/>
      </w:pPr>
    </w:p>
    <w:p>
      <w:pPr>
        <w:spacing w:after="50" w:before="200"/>
      </w:pPr>
      <w:r>
        <w:rPr>
          <w:b/>
          <w:bCs/>
          <w:color w:val="002d3b"/>
          <w:sz w:val="24"/>
          <w:szCs w:val="24"/>
        </w:rPr>
        <w:t xml:space="preserve">Division 004: LifeCare</w:t>
      </w:r>
    </w:p>
    <w:p>
      <w:pPr>
        <w:spacing w:after="150"/>
      </w:pPr>
      <w:r>
        <w:rPr>
          <w:b/>
          <w:bCs/>
          <w:sz w:val="22"/>
          <w:szCs w:val="22"/>
        </w:rPr>
        <w:t xml:space="preserve">Tagline: Delivering innovative healthcare technologies that improve lives worldwide.</w:t>
      </w:r>
    </w:p>
    <w:p>
      <w:pPr>
        <w:spacing w:after="150"/>
      </w:pPr>
      <w:r>
        <w:rPr>
          <w:sz w:val="22"/>
          <w:szCs w:val="22"/>
        </w:rPr>
        <w:t xml:space="preserve">Description: Precision medical diagnostic systems, hospital infrastructure equipment, biotechnology integration, and high-purity pharmaceutical sourcing.</w:t>
      </w:r>
    </w:p>
    <w:p>
      <w:pPr>
        <w:spacing w:after="150"/>
      </w:pPr>
      <w:r>
        <w:rPr>
          <w:sz w:val="22"/>
          <w:szCs w:val="22"/>
        </w:rPr>
        <w:t xml:space="preserve">Product &amp; Service Categories: Medical Devices, Hospital Equipment, Pharmaceuticals, Biotechnology, Diagnostics Equipment</w:t>
      </w:r>
    </w:p>
    <w:p>
      <w:pPr>
        <w:pBdr>
          <w:bottom w:val="single" w:color="009999" w:sz="6"/>
        </w:pBdr>
        <w:spacing w:after="200" w:before="200"/>
      </w:pPr>
    </w:p>
    <w:p>
      <w:pPr>
        <w:spacing w:after="50" w:before="200"/>
      </w:pPr>
      <w:r>
        <w:rPr>
          <w:b/>
          <w:bCs/>
          <w:color w:val="002d3b"/>
          <w:sz w:val="24"/>
          <w:szCs w:val="24"/>
        </w:rPr>
        <w:t xml:space="preserve">Division 005: Lifestyle</w:t>
      </w:r>
    </w:p>
    <w:p>
      <w:pPr>
        <w:spacing w:after="150"/>
      </w:pPr>
      <w:r>
        <w:rPr>
          <w:b/>
          <w:bCs/>
          <w:sz w:val="22"/>
          <w:szCs w:val="22"/>
        </w:rPr>
        <w:t xml:space="preserve">Tagline: Enhancing everyday living through quality consumer products and smart lifestyle solutions.</w:t>
      </w:r>
    </w:p>
    <w:p>
      <w:pPr>
        <w:spacing w:after="150"/>
      </w:pPr>
      <w:r>
        <w:rPr>
          <w:sz w:val="22"/>
          <w:szCs w:val="22"/>
        </w:rPr>
        <w:t xml:space="preserve">Description: High-grade consumer appliances, smart home automation hubs, wellness technology, and engineered textiles for premium global markets.</w:t>
      </w:r>
    </w:p>
    <w:p>
      <w:pPr>
        <w:spacing w:after="150"/>
      </w:pPr>
      <w:r>
        <w:rPr>
          <w:sz w:val="22"/>
          <w:szCs w:val="22"/>
        </w:rPr>
        <w:t xml:space="preserve">Product &amp; Service Categories: Consumer Appliances, Smart Home, Personal Care, Wellness, Fabric</w:t>
      </w:r>
    </w:p>
    <w:p>
      <w:pPr>
        <w:pBdr>
          <w:bottom w:val="single" w:color="009999" w:sz="6"/>
        </w:pBdr>
        <w:spacing w:after="200" w:before="200"/>
      </w:pPr>
    </w:p>
    <w:p>
      <w:pPr>
        <w:spacing w:after="50" w:before="200"/>
      </w:pPr>
      <w:r>
        <w:rPr>
          <w:b/>
          <w:bCs/>
          <w:color w:val="002d3b"/>
          <w:sz w:val="24"/>
          <w:szCs w:val="24"/>
        </w:rPr>
        <w:t xml:space="preserve">Division 006: Robotics</w:t>
      </w:r>
    </w:p>
    <w:p>
      <w:pPr>
        <w:spacing w:after="150"/>
      </w:pPr>
      <w:r>
        <w:rPr>
          <w:b/>
          <w:bCs/>
          <w:sz w:val="22"/>
          <w:szCs w:val="22"/>
        </w:rPr>
        <w:t xml:space="preserve">Tagline: Accelerating Industry 4.0 with intelligent automation and AI-driven industrial solutions.</w:t>
      </w:r>
    </w:p>
    <w:p>
      <w:pPr>
        <w:spacing w:after="150"/>
      </w:pPr>
      <w:r>
        <w:rPr>
          <w:sz w:val="22"/>
          <w:szCs w:val="22"/>
        </w:rPr>
        <w:t xml:space="preserve">Description: State-of-the-art industrial arm robots, Autonomous Mobile Robots (AMRs), smart warehouse automation, and factory-wide cyber-physical integration.</w:t>
      </w:r>
    </w:p>
    <w:p>
      <w:pPr>
        <w:spacing w:after="150"/>
      </w:pPr>
      <w:r>
        <w:rPr>
          <w:sz w:val="22"/>
          <w:szCs w:val="22"/>
        </w:rPr>
        <w:t xml:space="preserve">Product &amp; Service Categories: Industrial Robots, Warehouse Automation, AI Robotics, AMRs (Autonomous Mobile Robots), Factory Automation</w:t>
      </w:r>
    </w:p>
    <w:p>
      <w:pPr>
        <w:pBdr>
          <w:bottom w:val="single" w:color="009999" w:sz="6"/>
        </w:pBdr>
        <w:spacing w:after="200" w:before="200"/>
      </w:pPr>
    </w:p>
    <w:p>
      <w:pPr>
        <w:spacing w:after="50" w:before="200"/>
      </w:pPr>
      <w:r>
        <w:rPr>
          <w:b/>
          <w:bCs/>
          <w:color w:val="002d3b"/>
          <w:sz w:val="24"/>
          <w:szCs w:val="24"/>
        </w:rPr>
        <w:t xml:space="preserve">Division 007: Global Trading</w:t>
      </w:r>
    </w:p>
    <w:p>
      <w:pPr>
        <w:spacing w:after="150"/>
      </w:pPr>
      <w:r>
        <w:rPr>
          <w:b/>
          <w:bCs/>
          <w:sz w:val="22"/>
          <w:szCs w:val="22"/>
        </w:rPr>
        <w:t xml:space="preserve">Tagline: Connecting manufacturers, industries, governments, and global markets through an integrated international trading ecosystem.</w:t>
      </w:r>
    </w:p>
    <w:p>
      <w:pPr>
        <w:spacing w:after="150"/>
      </w:pPr>
      <w:r>
        <w:rPr>
          <w:sz w:val="22"/>
          <w:szCs w:val="22"/>
        </w:rPr>
        <w:t xml:space="preserve">Description: Cross-border multi-commodity supply chains, energy trading, defence &amp; aerospace procurement, and strategic industrial component distribution.</w:t>
      </w:r>
    </w:p>
    <w:p>
      <w:pPr>
        <w:spacing w:after="150"/>
      </w:pPr>
      <w:r>
        <w:rPr>
          <w:sz w:val="22"/>
          <w:szCs w:val="22"/>
        </w:rPr>
        <w:t xml:space="preserve">Product &amp; Service Categories: Energy, Electrical, Electronics, Defence &amp; Aerospace, Agri Trade, Metal</w:t>
      </w:r>
    </w:p>
    <w:p>
      <w:pPr>
        <w:pBdr>
          <w:bottom w:val="single" w:color="009999" w:sz="6"/>
        </w:pBdr>
        <w:spacing w:after="200" w:before="200"/>
      </w:pPr>
    </w:p>
    <w:p>
      <w:pPr>
        <w:pageBreakBefore/>
      </w:pPr>
    </w:p>
    <w:p>
      <w:pPr>
        <w:pStyle w:val="Heading1"/>
        <w:keepNext/>
        <w:spacing w:after="200" w:before="400"/>
      </w:pPr>
      <w:r>
        <w:rPr>
          <w:b/>
          <w:bCs/>
          <w:color w:val="002d3b"/>
          <w:sz w:val="32"/>
          <w:szCs w:val="32"/>
        </w:rPr>
        <w:t xml:space="preserve">VI. Global Network Page (Page: /global-network)</w:t>
      </w:r>
    </w:p>
    <w:p>
      <w:pPr>
        <w:pBdr>
          <w:bottom w:val="single" w:color="009999" w:sz="6"/>
        </w:pBdr>
        <w:spacing w:after="200" w:before="200"/>
      </w:pPr>
    </w:p>
    <w:p>
      <w:pPr>
        <w:pStyle w:val="Heading2"/>
        <w:keepNext/>
        <w:spacing w:after="150" w:before="300"/>
      </w:pPr>
      <w:r>
        <w:rPr>
          <w:b/>
          <w:bCs/>
          <w:color w:val="009999"/>
          <w:sz w:val="24"/>
          <w:szCs w:val="24"/>
        </w:rPr>
        <w:t xml:space="preserve">Page Hero Section</w:t>
      </w:r>
    </w:p>
    <w:p>
      <w:pPr>
        <w:spacing w:after="150"/>
      </w:pPr>
      <w:r>
        <w:rPr>
          <w:sz w:val="22"/>
          <w:szCs w:val="22"/>
        </w:rPr>
        <w:t xml:space="preserve">Label: Global Operational Presence</w:t>
      </w:r>
    </w:p>
    <w:p>
      <w:pPr>
        <w:spacing w:after="150"/>
      </w:pPr>
      <w:r>
        <w:rPr>
          <w:sz w:val="22"/>
          <w:szCs w:val="22"/>
        </w:rPr>
        <w:t xml:space="preserve">Heading: Global Network</w:t>
      </w:r>
    </w:p>
    <w:p>
      <w:pPr>
        <w:spacing w:after="150"/>
      </w:pPr>
      <w:r>
        <w:rPr>
          <w:sz w:val="22"/>
          <w:szCs w:val="22"/>
        </w:rPr>
        <w:t xml:space="preserve">Description: One Globe. One Network. One Future. — TAKNISER operates through a strategically positioned global network of 29 Regional Headquarters, logistics hubs, engineering centers, and business offices across 190+ countries.</w:t>
      </w:r>
    </w:p>
    <w:p>
      <w:pPr>
        <w:pStyle w:val="Heading2"/>
        <w:keepNext/>
        <w:spacing w:after="150" w:before="300"/>
      </w:pPr>
      <w:r>
        <w:rPr>
          <w:b/>
          <w:bCs/>
          <w:color w:val="009999"/>
          <w:sz w:val="24"/>
          <w:szCs w:val="24"/>
        </w:rPr>
        <w:t xml:space="preserve">Regional Headquarters Network</w:t>
      </w:r>
    </w:p>
    <w:p>
      <w:pPr>
        <w:pStyle w:val="ListParagraph"/>
        <w:numPr>
          <w:ilvl w:val="0"/>
          <w:numId w:val="1"/>
        </w:numPr>
        <w:spacing w:after="100"/>
      </w:pPr>
      <w:r>
        <w:rPr>
          <w:b/>
          <w:bCs/>
          <w:sz w:val="22"/>
          <w:szCs w:val="22"/>
        </w:rPr>
        <w:t xml:space="preserve">• Global HQ – TAKNISER GmbH (Germany, Region: Europe): </w:t>
      </w:r>
      <w:r>
        <w:rPr>
          <w:sz w:val="22"/>
          <w:szCs w:val="22"/>
        </w:rPr>
        <w:t xml:space="preserve">Global Headquarters &amp; Central Engineering Center (Hesse, Germany) [Type: HQ]</w:t>
      </w:r>
    </w:p>
    <w:p>
      <w:pPr>
        <w:pStyle w:val="ListParagraph"/>
        <w:numPr>
          <w:ilvl w:val="0"/>
          <w:numId w:val="1"/>
        </w:numPr>
        <w:spacing w:after="100"/>
      </w:pPr>
      <w:r>
        <w:rPr>
          <w:b/>
          <w:bCs/>
          <w:sz w:val="22"/>
          <w:szCs w:val="22"/>
        </w:rPr>
        <w:t xml:space="preserve">• European RHQ Network (10 RHQs) (Germany, Region: Europe): </w:t>
      </w:r>
      <w:r>
        <w:rPr>
          <w:sz w:val="22"/>
          <w:szCs w:val="22"/>
        </w:rPr>
        <w:t xml:space="preserve">10 Strategic Regional Headquarters covering Western &amp; Eastern Europe [Type: RHQ]</w:t>
      </w:r>
    </w:p>
    <w:p>
      <w:pPr>
        <w:pStyle w:val="ListParagraph"/>
        <w:numPr>
          <w:ilvl w:val="0"/>
          <w:numId w:val="1"/>
        </w:numPr>
        <w:spacing w:after="100"/>
      </w:pPr>
      <w:r>
        <w:rPr>
          <w:b/>
          <w:bCs/>
          <w:sz w:val="22"/>
          <w:szCs w:val="22"/>
        </w:rPr>
        <w:t xml:space="preserve">• TAKNISER Sterling Americana LLC (United States, Region: North America): </w:t>
      </w:r>
      <w:r>
        <w:rPr>
          <w:sz w:val="22"/>
          <w:szCs w:val="22"/>
        </w:rPr>
        <w:t xml:space="preserve">North American Regional HQ &amp; Strategic Procurement Division [Type: RHQ]</w:t>
      </w:r>
    </w:p>
    <w:p>
      <w:pPr>
        <w:pStyle w:val="ListParagraph"/>
        <w:numPr>
          <w:ilvl w:val="0"/>
          <w:numId w:val="1"/>
        </w:numPr>
        <w:spacing w:after="100"/>
      </w:pPr>
      <w:r>
        <w:rPr>
          <w:b/>
          <w:bCs/>
          <w:sz w:val="22"/>
          <w:szCs w:val="22"/>
        </w:rPr>
        <w:t xml:space="preserve">• TAKNISER Latin America – Mexico Hub (Mexico, Region: Latin America): </w:t>
      </w:r>
      <w:r>
        <w:rPr>
          <w:sz w:val="22"/>
          <w:szCs w:val="22"/>
        </w:rPr>
        <w:t xml:space="preserve">Manufacturing &amp; North-South Logistics Coordination [Type: RHQ]</w:t>
      </w:r>
    </w:p>
    <w:p>
      <w:pPr>
        <w:pStyle w:val="ListParagraph"/>
        <w:numPr>
          <w:ilvl w:val="0"/>
          <w:numId w:val="1"/>
        </w:numPr>
        <w:spacing w:after="100"/>
      </w:pPr>
      <w:r>
        <w:rPr>
          <w:b/>
          <w:bCs/>
          <w:sz w:val="22"/>
          <w:szCs w:val="22"/>
        </w:rPr>
        <w:t xml:space="preserve">• TAKNISER Panama Regional Office (Panama, Region: Latin America): </w:t>
      </w:r>
      <w:r>
        <w:rPr>
          <w:sz w:val="22"/>
          <w:szCs w:val="22"/>
        </w:rPr>
        <w:t xml:space="preserve">Maritime Trade &amp; Canal Logistics Center [Type: RHQ]</w:t>
      </w:r>
    </w:p>
    <w:p>
      <w:pPr>
        <w:pStyle w:val="ListParagraph"/>
        <w:numPr>
          <w:ilvl w:val="0"/>
          <w:numId w:val="1"/>
        </w:numPr>
        <w:spacing w:after="100"/>
      </w:pPr>
      <w:r>
        <w:rPr>
          <w:b/>
          <w:bCs/>
          <w:sz w:val="22"/>
          <w:szCs w:val="22"/>
        </w:rPr>
        <w:t xml:space="preserve">• TAKNISER Chile Mineral Operations (Chile, Region: Latin America): </w:t>
      </w:r>
      <w:r>
        <w:rPr>
          <w:sz w:val="22"/>
          <w:szCs w:val="22"/>
        </w:rPr>
        <w:t xml:space="preserve">Mining &amp; Critical Minerals Sourcing Hub [Type: RHQ]</w:t>
      </w:r>
    </w:p>
    <w:p>
      <w:pPr>
        <w:pStyle w:val="ListParagraph"/>
        <w:numPr>
          <w:ilvl w:val="0"/>
          <w:numId w:val="1"/>
        </w:numPr>
        <w:spacing w:after="100"/>
      </w:pPr>
      <w:r>
        <w:rPr>
          <w:b/>
          <w:bCs/>
          <w:sz w:val="22"/>
          <w:szCs w:val="22"/>
        </w:rPr>
        <w:t xml:space="preserve">• TAKNISER Brazil Operations (Brazil, Region: Latin America): </w:t>
      </w:r>
      <w:r>
        <w:rPr>
          <w:sz w:val="22"/>
          <w:szCs w:val="22"/>
        </w:rPr>
        <w:t xml:space="preserve">AgTech &amp; Industrial Sourcing Headquarters [Type: RHQ]</w:t>
      </w:r>
    </w:p>
    <w:p>
      <w:pPr>
        <w:pStyle w:val="ListParagraph"/>
        <w:numPr>
          <w:ilvl w:val="0"/>
          <w:numId w:val="1"/>
        </w:numPr>
        <w:spacing w:after="100"/>
      </w:pPr>
      <w:r>
        <w:rPr>
          <w:b/>
          <w:bCs/>
          <w:sz w:val="22"/>
          <w:szCs w:val="22"/>
        </w:rPr>
        <w:t xml:space="preserve">• TAKNISER West Africa Hub (Ghana, Region: Africa): </w:t>
      </w:r>
      <w:r>
        <w:rPr>
          <w:sz w:val="22"/>
          <w:szCs w:val="22"/>
        </w:rPr>
        <w:t xml:space="preserve">Infrastructure &amp; Mineral Trade Office [Type: RHQ]</w:t>
      </w:r>
    </w:p>
    <w:p>
      <w:pPr>
        <w:pStyle w:val="ListParagraph"/>
        <w:numPr>
          <w:ilvl w:val="0"/>
          <w:numId w:val="1"/>
        </w:numPr>
        <w:spacing w:after="100"/>
      </w:pPr>
      <w:r>
        <w:rPr>
          <w:b/>
          <w:bCs/>
          <w:sz w:val="22"/>
          <w:szCs w:val="22"/>
        </w:rPr>
        <w:t xml:space="preserve">• TAKNISER East Africa Hub (Kenya, Region: Africa): </w:t>
      </w:r>
      <w:r>
        <w:rPr>
          <w:sz w:val="22"/>
          <w:szCs w:val="22"/>
        </w:rPr>
        <w:t xml:space="preserve">Energy &amp; Agricultural Technology Division [Type: RHQ]</w:t>
      </w:r>
    </w:p>
    <w:p>
      <w:pPr>
        <w:pStyle w:val="ListParagraph"/>
        <w:numPr>
          <w:ilvl w:val="0"/>
          <w:numId w:val="1"/>
        </w:numPr>
        <w:spacing w:after="100"/>
      </w:pPr>
      <w:r>
        <w:rPr>
          <w:b/>
          <w:bCs/>
          <w:sz w:val="22"/>
          <w:szCs w:val="22"/>
        </w:rPr>
        <w:t xml:space="preserve">• TAKNISER Southern Africa RHQ (South Africa, Region: Africa): </w:t>
      </w:r>
      <w:r>
        <w:rPr>
          <w:sz w:val="22"/>
          <w:szCs w:val="22"/>
        </w:rPr>
        <w:t xml:space="preserve">Industrial Equipment &amp; Mining Supply Hub [Type: RHQ]</w:t>
      </w:r>
    </w:p>
    <w:p>
      <w:pPr>
        <w:pStyle w:val="ListParagraph"/>
        <w:numPr>
          <w:ilvl w:val="0"/>
          <w:numId w:val="1"/>
        </w:numPr>
        <w:spacing w:after="100"/>
      </w:pPr>
      <w:r>
        <w:rPr>
          <w:b/>
          <w:bCs/>
          <w:sz w:val="22"/>
          <w:szCs w:val="22"/>
        </w:rPr>
        <w:t xml:space="preserve">• JAFZA Logistics Hub &amp; Middle East RHQ (UAE, Region: Middle East): </w:t>
      </w:r>
      <w:r>
        <w:rPr>
          <w:sz w:val="22"/>
          <w:szCs w:val="22"/>
        </w:rPr>
        <w:t xml:space="preserve">Primary Global Distribution &amp; Free Zone Logistics Center [Type: LOGISTICS HUB]</w:t>
      </w:r>
    </w:p>
    <w:p>
      <w:pPr>
        <w:pStyle w:val="ListParagraph"/>
        <w:numPr>
          <w:ilvl w:val="0"/>
          <w:numId w:val="1"/>
        </w:numPr>
        <w:spacing w:after="100"/>
      </w:pPr>
      <w:r>
        <w:rPr>
          <w:b/>
          <w:bCs/>
          <w:sz w:val="22"/>
          <w:szCs w:val="22"/>
        </w:rPr>
        <w:t xml:space="preserve">• TAKNISER Saudi Arabia Operations (Saudi Arabia, Region: Middle East): </w:t>
      </w:r>
      <w:r>
        <w:rPr>
          <w:sz w:val="22"/>
          <w:szCs w:val="22"/>
        </w:rPr>
        <w:t xml:space="preserve">Infrastructure, EPC &amp; Energy Trade Headquarters [Type: RHQ]</w:t>
      </w:r>
    </w:p>
    <w:p>
      <w:pPr>
        <w:pStyle w:val="ListParagraph"/>
        <w:numPr>
          <w:ilvl w:val="0"/>
          <w:numId w:val="1"/>
        </w:numPr>
        <w:spacing w:after="100"/>
      </w:pPr>
      <w:r>
        <w:rPr>
          <w:b/>
          <w:bCs/>
          <w:sz w:val="22"/>
          <w:szCs w:val="22"/>
        </w:rPr>
        <w:t xml:space="preserve">• TAKNISER South Asia RHQ (India, Region: Asia): </w:t>
      </w:r>
      <w:r>
        <w:rPr>
          <w:sz w:val="22"/>
          <w:szCs w:val="22"/>
        </w:rPr>
        <w:t xml:space="preserve">Engineering Center &amp; Industrial Sourcing Office [Type: RHQ]</w:t>
      </w:r>
    </w:p>
    <w:p>
      <w:pPr>
        <w:pStyle w:val="ListParagraph"/>
        <w:numPr>
          <w:ilvl w:val="0"/>
          <w:numId w:val="1"/>
        </w:numPr>
        <w:spacing w:after="100"/>
      </w:pPr>
      <w:r>
        <w:rPr>
          <w:b/>
          <w:bCs/>
          <w:sz w:val="22"/>
          <w:szCs w:val="22"/>
        </w:rPr>
        <w:t xml:space="preserve">• TAKNISER Southeast Asia RHQ (Singapore, Region: Asia): </w:t>
      </w:r>
      <w:r>
        <w:rPr>
          <w:sz w:val="22"/>
          <w:szCs w:val="22"/>
        </w:rPr>
        <w:t xml:space="preserve">Financial &amp; International Global Trading Center [Type: RHQ]</w:t>
      </w:r>
    </w:p>
    <w:p>
      <w:pPr>
        <w:pStyle w:val="ListParagraph"/>
        <w:numPr>
          <w:ilvl w:val="0"/>
          <w:numId w:val="1"/>
        </w:numPr>
        <w:spacing w:after="100"/>
      </w:pPr>
      <w:r>
        <w:rPr>
          <w:b/>
          <w:bCs/>
          <w:sz w:val="22"/>
          <w:szCs w:val="22"/>
        </w:rPr>
        <w:t xml:space="preserve">• TAKNISER Greater China Hub (China, Region: Asia): </w:t>
      </w:r>
      <w:r>
        <w:rPr>
          <w:sz w:val="22"/>
          <w:szCs w:val="22"/>
        </w:rPr>
        <w:t xml:space="preserve">Manufacturing &amp; Supply Chain Coordination [Type: RHQ]</w:t>
      </w:r>
    </w:p>
    <w:p>
      <w:pPr>
        <w:pStyle w:val="ListParagraph"/>
        <w:numPr>
          <w:ilvl w:val="0"/>
          <w:numId w:val="1"/>
        </w:numPr>
        <w:spacing w:after="100"/>
      </w:pPr>
      <w:r>
        <w:rPr>
          <w:b/>
          <w:bCs/>
          <w:sz w:val="22"/>
          <w:szCs w:val="22"/>
        </w:rPr>
        <w:t xml:space="preserve">• TAKNISER Hong Kong Trading (Hong Kong, Region: Asia): </w:t>
      </w:r>
      <w:r>
        <w:rPr>
          <w:sz w:val="22"/>
          <w:szCs w:val="22"/>
        </w:rPr>
        <w:t xml:space="preserve">Trade Finance &amp; Asia Logistics Office [Type: RHQ]</w:t>
      </w:r>
    </w:p>
    <w:p>
      <w:pPr>
        <w:pStyle w:val="ListParagraph"/>
        <w:numPr>
          <w:ilvl w:val="0"/>
          <w:numId w:val="1"/>
        </w:numPr>
        <w:spacing w:after="100"/>
      </w:pPr>
      <w:r>
        <w:rPr>
          <w:b/>
          <w:bCs/>
          <w:sz w:val="22"/>
          <w:szCs w:val="22"/>
        </w:rPr>
        <w:t xml:space="preserve">• TAKNISER Japan Robotics Office (Japan, Region: Asia): </w:t>
      </w:r>
      <w:r>
        <w:rPr>
          <w:sz w:val="22"/>
          <w:szCs w:val="22"/>
        </w:rPr>
        <w:t xml:space="preserve">Robotics &amp; High-Tech Components Division [Type: RHQ]</w:t>
      </w:r>
    </w:p>
    <w:p>
      <w:pPr>
        <w:pStyle w:val="ListParagraph"/>
        <w:numPr>
          <w:ilvl w:val="0"/>
          <w:numId w:val="1"/>
        </w:numPr>
        <w:spacing w:after="100"/>
      </w:pPr>
      <w:r>
        <w:rPr>
          <w:b/>
          <w:bCs/>
          <w:sz w:val="22"/>
          <w:szCs w:val="22"/>
        </w:rPr>
        <w:t xml:space="preserve">• TAKNISER Eurasia Bridge Hub (Türkiye, Region: Asia): </w:t>
      </w:r>
      <w:r>
        <w:rPr>
          <w:sz w:val="22"/>
          <w:szCs w:val="22"/>
        </w:rPr>
        <w:t xml:space="preserve">Eurasian Cross-Border Trade &amp; Logistics Center [Type: RHQ]</w:t>
      </w:r>
    </w:p>
    <w:p>
      <w:pPr>
        <w:pStyle w:val="ListParagraph"/>
        <w:numPr>
          <w:ilvl w:val="0"/>
          <w:numId w:val="1"/>
        </w:numPr>
        <w:spacing w:after="100"/>
      </w:pPr>
      <w:r>
        <w:rPr>
          <w:b/>
          <w:bCs/>
          <w:sz w:val="22"/>
          <w:szCs w:val="22"/>
        </w:rPr>
        <w:t xml:space="preserve">• TAKNISER Oceania RHQ (Australia, Region: Oceania): </w:t>
      </w:r>
      <w:r>
        <w:rPr>
          <w:sz w:val="22"/>
          <w:szCs w:val="22"/>
        </w:rPr>
        <w:t xml:space="preserve">Mining &amp; Heavy Equipment Operations Hub [Type: RHQ]</w:t>
      </w:r>
    </w:p>
    <w:p>
      <w:pPr>
        <w:pStyle w:val="Heading2"/>
        <w:keepNext/>
        <w:spacing w:after="150" w:before="300"/>
      </w:pPr>
      <w:r>
        <w:rPr>
          <w:b/>
          <w:bCs/>
          <w:color w:val="009999"/>
          <w:sz w:val="24"/>
          <w:szCs w:val="24"/>
        </w:rPr>
        <w:t xml:space="preserve">Global Footprint Statistics</w:t>
      </w:r>
    </w:p>
    <w:p>
      <w:pPr>
        <w:pStyle w:val="ListParagraph"/>
        <w:numPr>
          <w:ilvl w:val="0"/>
          <w:numId w:val="1"/>
        </w:numPr>
        <w:spacing w:after="100"/>
      </w:pPr>
      <w:r>
        <w:rPr>
          <w:b/>
          <w:bCs/>
          <w:sz w:val="22"/>
          <w:szCs w:val="22"/>
        </w:rPr>
        <w:t xml:space="preserve">• Global Headquarters: </w:t>
      </w:r>
      <w:r>
        <w:rPr>
          <w:sz w:val="22"/>
          <w:szCs w:val="22"/>
        </w:rPr>
        <w:t xml:space="preserve">1 (Hesse, Germany)</w:t>
      </w:r>
    </w:p>
    <w:p>
      <w:pPr>
        <w:pStyle w:val="ListParagraph"/>
        <w:numPr>
          <w:ilvl w:val="0"/>
          <w:numId w:val="1"/>
        </w:numPr>
        <w:spacing w:after="100"/>
      </w:pPr>
      <w:r>
        <w:rPr>
          <w:b/>
          <w:bCs/>
          <w:sz w:val="22"/>
          <w:szCs w:val="22"/>
        </w:rPr>
        <w:t xml:space="preserve">• Regional Headquarters: </w:t>
      </w:r>
      <w:r>
        <w:rPr>
          <w:sz w:val="22"/>
          <w:szCs w:val="22"/>
        </w:rPr>
        <w:t xml:space="preserve">29</w:t>
      </w:r>
    </w:p>
    <w:p>
      <w:pPr>
        <w:pStyle w:val="ListParagraph"/>
        <w:numPr>
          <w:ilvl w:val="0"/>
          <w:numId w:val="1"/>
        </w:numPr>
        <w:spacing w:after="100"/>
      </w:pPr>
      <w:r>
        <w:rPr>
          <w:b/>
          <w:bCs/>
          <w:sz w:val="22"/>
          <w:szCs w:val="22"/>
        </w:rPr>
        <w:t xml:space="preserve">• Countries &amp; Territories: </w:t>
      </w:r>
      <w:r>
        <w:rPr>
          <w:sz w:val="22"/>
          <w:szCs w:val="22"/>
        </w:rPr>
        <w:t xml:space="preserve">190+</w:t>
      </w:r>
    </w:p>
    <w:p>
      <w:pPr>
        <w:pStyle w:val="ListParagraph"/>
        <w:numPr>
          <w:ilvl w:val="0"/>
          <w:numId w:val="1"/>
        </w:numPr>
        <w:spacing w:after="100"/>
      </w:pPr>
      <w:r>
        <w:rPr>
          <w:b/>
          <w:bCs/>
          <w:sz w:val="22"/>
          <w:szCs w:val="22"/>
        </w:rPr>
        <w:t xml:space="preserve">• Continents Active: </w:t>
      </w:r>
      <w:r>
        <w:rPr>
          <w:sz w:val="22"/>
          <w:szCs w:val="22"/>
        </w:rPr>
        <w:t xml:space="preserve">6</w:t>
      </w:r>
    </w:p>
    <w:p>
      <w:pPr>
        <w:pStyle w:val="ListParagraph"/>
        <w:numPr>
          <w:ilvl w:val="0"/>
          <w:numId w:val="1"/>
        </w:numPr>
        <w:spacing w:after="100"/>
      </w:pPr>
      <w:r>
        <w:rPr>
          <w:b/>
          <w:bCs/>
          <w:sz w:val="22"/>
          <w:szCs w:val="22"/>
        </w:rPr>
        <w:t xml:space="preserve">• Integrated Logistics Network: </w:t>
      </w:r>
      <w:r>
        <w:rPr>
          <w:sz w:val="22"/>
          <w:szCs w:val="22"/>
        </w:rPr>
        <w:t xml:space="preserve">Global</w:t>
      </w:r>
    </w:p>
    <w:p>
      <w:pPr>
        <w:pStyle w:val="ListParagraph"/>
        <w:numPr>
          <w:ilvl w:val="0"/>
          <w:numId w:val="1"/>
        </w:numPr>
        <w:spacing w:after="100"/>
      </w:pPr>
      <w:r>
        <w:rPr>
          <w:b/>
          <w:bCs/>
          <w:sz w:val="22"/>
          <w:szCs w:val="22"/>
        </w:rPr>
        <w:t xml:space="preserve">• Worldwide Sourcing &amp; Procurement: </w:t>
      </w:r>
      <w:r>
        <w:rPr>
          <w:sz w:val="22"/>
          <w:szCs w:val="22"/>
        </w:rPr>
        <w:t xml:space="preserve">Active</w:t>
      </w:r>
    </w:p>
    <w:p>
      <w:pPr>
        <w:pStyle w:val="ListParagraph"/>
        <w:numPr>
          <w:ilvl w:val="0"/>
          <w:numId w:val="1"/>
        </w:numPr>
        <w:spacing w:after="100"/>
      </w:pPr>
      <w:r>
        <w:rPr>
          <w:b/>
          <w:bCs/>
          <w:sz w:val="22"/>
          <w:szCs w:val="22"/>
        </w:rPr>
        <w:t xml:space="preserve">• Manufacturing &amp; OEM Partnerships: </w:t>
      </w:r>
      <w:r>
        <w:rPr>
          <w:sz w:val="22"/>
          <w:szCs w:val="22"/>
        </w:rPr>
        <w:t xml:space="preserve">Multi-continent</w:t>
      </w:r>
    </w:p>
    <w:p>
      <w:pPr>
        <w:pStyle w:val="ListParagraph"/>
        <w:numPr>
          <w:ilvl w:val="0"/>
          <w:numId w:val="1"/>
        </w:numPr>
        <w:spacing w:after="100"/>
      </w:pPr>
      <w:r>
        <w:rPr>
          <w:b/>
          <w:bCs/>
          <w:sz w:val="22"/>
          <w:szCs w:val="22"/>
        </w:rPr>
        <w:t xml:space="preserve">• International Distribution: </w:t>
      </w:r>
      <w:r>
        <w:rPr>
          <w:sz w:val="22"/>
          <w:szCs w:val="22"/>
        </w:rPr>
        <w:t xml:space="preserve">Active</w:t>
      </w:r>
    </w:p>
    <w:p>
      <w:pPr>
        <w:pStyle w:val="ListParagraph"/>
        <w:numPr>
          <w:ilvl w:val="0"/>
          <w:numId w:val="1"/>
        </w:numPr>
        <w:spacing w:after="100"/>
      </w:pPr>
      <w:r>
        <w:rPr>
          <w:b/>
          <w:bCs/>
          <w:sz w:val="22"/>
          <w:szCs w:val="22"/>
        </w:rPr>
        <w:t xml:space="preserve">• Global Business Partners: </w:t>
      </w:r>
      <w:r>
        <w:rPr>
          <w:sz w:val="22"/>
          <w:szCs w:val="22"/>
        </w:rPr>
        <w:t xml:space="preserve">Growing</w:t>
      </w:r>
    </w:p>
    <w:p>
      <w:pPr>
        <w:pStyle w:val="ListParagraph"/>
        <w:numPr>
          <w:ilvl w:val="0"/>
          <w:numId w:val="1"/>
        </w:numPr>
        <w:spacing w:after="100"/>
      </w:pPr>
      <w:r>
        <w:rPr>
          <w:b/>
          <w:bCs/>
          <w:sz w:val="22"/>
          <w:szCs w:val="22"/>
        </w:rPr>
        <w:t xml:space="preserve">• Sustainable Growth Strategy: </w:t>
      </w:r>
      <w:r>
        <w:rPr>
          <w:sz w:val="22"/>
          <w:szCs w:val="22"/>
        </w:rPr>
        <w:t xml:space="preserve">Vision 2046</w:t>
      </w:r>
    </w:p>
    <w:p>
      <w:pPr>
        <w:pageBreakBefore/>
      </w:pPr>
    </w:p>
    <w:p>
      <w:pPr>
        <w:pStyle w:val="Heading1"/>
        <w:keepNext/>
        <w:spacing w:after="200" w:before="400"/>
      </w:pPr>
      <w:r>
        <w:rPr>
          <w:b/>
          <w:bCs/>
          <w:color w:val="002d3b"/>
          <w:sz w:val="32"/>
          <w:szCs w:val="32"/>
        </w:rPr>
        <w:t xml:space="preserve">VII. Vision 2046 Roadmap (Page: /vision-2046)</w:t>
      </w:r>
    </w:p>
    <w:p>
      <w:pPr>
        <w:pBdr>
          <w:bottom w:val="single" w:color="009999" w:sz="6"/>
        </w:pBdr>
        <w:spacing w:after="200" w:before="200"/>
      </w:pPr>
    </w:p>
    <w:p>
      <w:pPr>
        <w:pStyle w:val="Heading2"/>
        <w:keepNext/>
        <w:spacing w:after="150" w:before="300"/>
      </w:pPr>
      <w:r>
        <w:rPr>
          <w:b/>
          <w:bCs/>
          <w:color w:val="009999"/>
          <w:sz w:val="24"/>
          <w:szCs w:val="24"/>
        </w:rPr>
        <w:t xml:space="preserve">Page Hero Section</w:t>
      </w:r>
    </w:p>
    <w:p>
      <w:pPr>
        <w:spacing w:after="150"/>
      </w:pPr>
      <w:r>
        <w:rPr>
          <w:sz w:val="22"/>
          <w:szCs w:val="22"/>
        </w:rPr>
        <w:t xml:space="preserve">Label: Strategic Vision</w:t>
      </w:r>
    </w:p>
    <w:p>
      <w:pPr>
        <w:spacing w:after="150"/>
      </w:pPr>
      <w:r>
        <w:rPr>
          <w:sz w:val="22"/>
          <w:szCs w:val="22"/>
        </w:rPr>
        <w:t xml:space="preserve">Heading: Vision 2046</w:t>
      </w:r>
    </w:p>
    <w:p>
      <w:pPr>
        <w:spacing w:after="150"/>
      </w:pPr>
      <w:r>
        <w:rPr>
          <w:sz w:val="22"/>
          <w:szCs w:val="22"/>
        </w:rPr>
        <w:t xml:space="preserve">Description: TAKNISER's strategic century vision charts the course from a Hessen engineering heritage to a globally respected industrial, technology and trading conglomerate.</w:t>
      </w:r>
    </w:p>
    <w:p>
      <w:pPr>
        <w:pStyle w:val="Heading2"/>
        <w:keepNext/>
        <w:spacing w:after="150" w:before="300"/>
      </w:pPr>
      <w:r>
        <w:rPr>
          <w:b/>
          <w:bCs/>
          <w:color w:val="009999"/>
          <w:sz w:val="24"/>
          <w:szCs w:val="24"/>
        </w:rPr>
        <w:t xml:space="preserve">The Official Vision Statement</w:t>
      </w:r>
    </w:p>
    <w:p>
      <w:pPr>
        <w:spacing w:after="150"/>
      </w:pPr>
      <w:r>
        <w:rPr>
          <w:i/>
          <w:iCs/>
          <w:sz w:val="22"/>
          <w:szCs w:val="22"/>
        </w:rPr>
        <w:t xml:space="preserve">“To build TAKNISER into one of the world's most respected industrial, technology, manufacturing, sourcing, distribution, and global trading conglomerates by delivering innovative, sustainable, and reliable solutions across every major continent while connecting businesses, industries, and communities through one integrated global network.”</w:t>
      </w:r>
    </w:p>
    <w:p>
      <w:pPr>
        <w:pStyle w:val="Heading2"/>
        <w:keepNext/>
        <w:spacing w:after="150" w:before="300"/>
      </w:pPr>
      <w:r>
        <w:rPr>
          <w:b/>
          <w:bCs/>
          <w:color w:val="009999"/>
          <w:sz w:val="24"/>
          <w:szCs w:val="24"/>
        </w:rPr>
        <w:t xml:space="preserve">Our Mission Pillars (Seven Pillars)</w:t>
      </w:r>
    </w:p>
    <w:p>
      <w:pPr>
        <w:pStyle w:val="ListParagraph"/>
        <w:numPr>
          <w:ilvl w:val="0"/>
          <w:numId w:val="1"/>
        </w:numPr>
        <w:spacing w:after="100"/>
      </w:pPr>
      <w:r>
        <w:rPr>
          <w:b/>
          <w:bCs/>
          <w:sz w:val="22"/>
          <w:szCs w:val="22"/>
        </w:rPr>
        <w:t xml:space="preserve">01. </w:t>
      </w:r>
      <w:r>
        <w:rPr>
          <w:sz w:val="22"/>
          <w:szCs w:val="22"/>
        </w:rPr>
        <w:t xml:space="preserve">Deliver world-class products and technologies.</w:t>
      </w:r>
    </w:p>
    <w:p>
      <w:pPr>
        <w:pStyle w:val="ListParagraph"/>
        <w:numPr>
          <w:ilvl w:val="0"/>
          <w:numId w:val="1"/>
        </w:numPr>
        <w:spacing w:after="100"/>
      </w:pPr>
      <w:r>
        <w:rPr>
          <w:b/>
          <w:bCs/>
          <w:sz w:val="22"/>
          <w:szCs w:val="22"/>
        </w:rPr>
        <w:t xml:space="preserve">02. </w:t>
      </w:r>
      <w:r>
        <w:rPr>
          <w:sz w:val="22"/>
          <w:szCs w:val="22"/>
        </w:rPr>
        <w:t xml:space="preserve">Build sustainable global supply chains.</w:t>
      </w:r>
    </w:p>
    <w:p>
      <w:pPr>
        <w:pStyle w:val="ListParagraph"/>
        <w:numPr>
          <w:ilvl w:val="0"/>
          <w:numId w:val="1"/>
        </w:numPr>
        <w:spacing w:after="100"/>
      </w:pPr>
      <w:r>
        <w:rPr>
          <w:b/>
          <w:bCs/>
          <w:sz w:val="22"/>
          <w:szCs w:val="22"/>
        </w:rPr>
        <w:t xml:space="preserve">03. </w:t>
      </w:r>
      <w:r>
        <w:rPr>
          <w:sz w:val="22"/>
          <w:szCs w:val="22"/>
        </w:rPr>
        <w:t xml:space="preserve">Create long-term value for customers and partners.</w:t>
      </w:r>
    </w:p>
    <w:p>
      <w:pPr>
        <w:pStyle w:val="ListParagraph"/>
        <w:numPr>
          <w:ilvl w:val="0"/>
          <w:numId w:val="1"/>
        </w:numPr>
        <w:spacing w:after="100"/>
      </w:pPr>
      <w:r>
        <w:rPr>
          <w:b/>
          <w:bCs/>
          <w:sz w:val="22"/>
          <w:szCs w:val="22"/>
        </w:rPr>
        <w:t xml:space="preserve">04. </w:t>
      </w:r>
      <w:r>
        <w:rPr>
          <w:sz w:val="22"/>
          <w:szCs w:val="22"/>
        </w:rPr>
        <w:t xml:space="preserve">Promote innovation across every business division.</w:t>
      </w:r>
    </w:p>
    <w:p>
      <w:pPr>
        <w:pStyle w:val="ListParagraph"/>
        <w:numPr>
          <w:ilvl w:val="0"/>
          <w:numId w:val="1"/>
        </w:numPr>
        <w:spacing w:after="100"/>
      </w:pPr>
      <w:r>
        <w:rPr>
          <w:b/>
          <w:bCs/>
          <w:sz w:val="22"/>
          <w:szCs w:val="22"/>
        </w:rPr>
        <w:t xml:space="preserve">05. </w:t>
      </w:r>
      <w:r>
        <w:rPr>
          <w:sz w:val="22"/>
          <w:szCs w:val="22"/>
        </w:rPr>
        <w:t xml:space="preserve">Support governments and industries through reliable infrastructure solutions.</w:t>
      </w:r>
    </w:p>
    <w:p>
      <w:pPr>
        <w:pStyle w:val="ListParagraph"/>
        <w:numPr>
          <w:ilvl w:val="0"/>
          <w:numId w:val="1"/>
        </w:numPr>
        <w:spacing w:after="100"/>
      </w:pPr>
      <w:r>
        <w:rPr>
          <w:b/>
          <w:bCs/>
          <w:sz w:val="22"/>
          <w:szCs w:val="22"/>
        </w:rPr>
        <w:t xml:space="preserve">06. </w:t>
      </w:r>
      <w:r>
        <w:rPr>
          <w:sz w:val="22"/>
          <w:szCs w:val="22"/>
        </w:rPr>
        <w:t xml:space="preserve">Develop future-ready technologies for the next generation.</w:t>
      </w:r>
    </w:p>
    <w:p>
      <w:pPr>
        <w:pStyle w:val="ListParagraph"/>
        <w:numPr>
          <w:ilvl w:val="0"/>
          <w:numId w:val="1"/>
        </w:numPr>
        <w:spacing w:after="100"/>
      </w:pPr>
      <w:r>
        <w:rPr>
          <w:b/>
          <w:bCs/>
          <w:sz w:val="22"/>
          <w:szCs w:val="22"/>
        </w:rPr>
        <w:t xml:space="preserve">07. </w:t>
      </w:r>
      <w:r>
        <w:rPr>
          <w:sz w:val="22"/>
          <w:szCs w:val="22"/>
        </w:rPr>
        <w:t xml:space="preserve">Expand TAKNISER's presence across every major international market.</w:t>
      </w:r>
    </w:p>
    <w:p>
      <w:pPr>
        <w:pStyle w:val="Heading2"/>
        <w:keepNext/>
        <w:spacing w:after="150" w:before="300"/>
      </w:pPr>
      <w:r>
        <w:rPr>
          <w:b/>
          <w:bCs/>
          <w:color w:val="009999"/>
          <w:sz w:val="24"/>
          <w:szCs w:val="24"/>
        </w:rPr>
        <w:t xml:space="preserve">Strategic Pillars</w:t>
      </w:r>
    </w:p>
    <w:p>
      <w:pPr>
        <w:spacing w:after="50" w:before="100"/>
      </w:pPr>
      <w:r>
        <w:rPr>
          <w:b/>
          <w:bCs/>
          <w:color w:val="009999"/>
          <w:sz w:val="22"/>
          <w:szCs w:val="22"/>
        </w:rPr>
        <w:t xml:space="preserve">Innovation</w:t>
      </w:r>
    </w:p>
    <w:p>
      <w:pPr>
        <w:spacing w:after="150"/>
      </w:pPr>
      <w:r>
        <w:rPr>
          <w:sz w:val="22"/>
          <w:szCs w:val="22"/>
        </w:rPr>
        <w:t xml:space="preserve">Continuous investment in advanced technologies, digital capabilities, and next-generation engineering talent.</w:t>
      </w:r>
    </w:p>
    <w:p>
      <w:pPr>
        <w:spacing w:after="50" w:before="100"/>
      </w:pPr>
      <w:r>
        <w:rPr>
          <w:b/>
          <w:bCs/>
          <w:color w:val="009999"/>
          <w:sz w:val="22"/>
          <w:szCs w:val="22"/>
        </w:rPr>
        <w:t xml:space="preserve">Sustainability</w:t>
      </w:r>
    </w:p>
    <w:p>
      <w:pPr>
        <w:spacing w:after="150"/>
      </w:pPr>
      <w:r>
        <w:rPr>
          <w:sz w:val="22"/>
          <w:szCs w:val="22"/>
        </w:rPr>
        <w:t xml:space="preserve">Building responsible supply chains, environmentally conscious operations, and long-term ecological commitments.</w:t>
      </w:r>
    </w:p>
    <w:p>
      <w:pPr>
        <w:spacing w:after="50" w:before="100"/>
      </w:pPr>
      <w:r>
        <w:rPr>
          <w:b/>
          <w:bCs/>
          <w:color w:val="009999"/>
          <w:sz w:val="22"/>
          <w:szCs w:val="22"/>
        </w:rPr>
        <w:t xml:space="preserve">Global Expansion</w:t>
      </w:r>
    </w:p>
    <w:p>
      <w:pPr>
        <w:spacing w:after="150"/>
      </w:pPr>
      <w:r>
        <w:rPr>
          <w:sz w:val="22"/>
          <w:szCs w:val="22"/>
        </w:rPr>
        <w:t xml:space="preserve">Strengthening our presence across every major international market through strategic RHQ expansion and partnerships.</w:t>
      </w:r>
    </w:p>
    <w:p>
      <w:pPr>
        <w:spacing w:after="50" w:before="100"/>
      </w:pPr>
      <w:r>
        <w:rPr>
          <w:b/>
          <w:bCs/>
          <w:color w:val="009999"/>
          <w:sz w:val="22"/>
          <w:szCs w:val="22"/>
        </w:rPr>
        <w:t xml:space="preserve">Technology Leadership</w:t>
      </w:r>
    </w:p>
    <w:p>
      <w:pPr>
        <w:spacing w:after="150"/>
      </w:pPr>
      <w:r>
        <w:rPr>
          <w:sz w:val="22"/>
          <w:szCs w:val="22"/>
        </w:rPr>
        <w:t xml:space="preserve">Investing in Industry 4.0, AI robotics, space economy, digital transformation, and smart infrastructure.</w:t>
      </w:r>
    </w:p>
    <w:p>
      <w:pPr>
        <w:spacing w:after="50" w:before="100"/>
      </w:pPr>
      <w:r>
        <w:rPr>
          <w:b/>
          <w:bCs/>
          <w:color w:val="009999"/>
          <w:sz w:val="22"/>
          <w:szCs w:val="22"/>
        </w:rPr>
        <w:t xml:space="preserve">Trusted Partnerships</w:t>
      </w:r>
    </w:p>
    <w:p>
      <w:pPr>
        <w:spacing w:after="150"/>
      </w:pPr>
      <w:r>
        <w:rPr>
          <w:sz w:val="22"/>
          <w:szCs w:val="22"/>
        </w:rPr>
        <w:t xml:space="preserve">Creating long-term value for customers, partners, employees, industries, and society through trusted relationships.</w:t>
      </w:r>
    </w:p>
    <w:p>
      <w:pPr>
        <w:spacing w:after="50" w:before="100"/>
      </w:pPr>
      <w:r>
        <w:rPr>
          <w:b/>
          <w:bCs/>
          <w:color w:val="009999"/>
          <w:sz w:val="22"/>
          <w:szCs w:val="22"/>
        </w:rPr>
        <w:t xml:space="preserve">Integrated Network</w:t>
      </w:r>
    </w:p>
    <w:p>
      <w:pPr>
        <w:spacing w:after="150"/>
      </w:pPr>
      <w:r>
        <w:rPr>
          <w:sz w:val="22"/>
          <w:szCs w:val="22"/>
        </w:rPr>
        <w:t xml:space="preserve">One integrated global industrial ecosystem connecting engineering, manufacturing, sourcing, logistics, and trade.</w:t>
      </w:r>
    </w:p>
    <w:p>
      <w:pPr>
        <w:pageBreakBefore/>
      </w:pPr>
    </w:p>
    <w:p>
      <w:pPr>
        <w:pStyle w:val="Heading1"/>
        <w:keepNext/>
        <w:spacing w:after="200" w:before="400"/>
      </w:pPr>
      <w:r>
        <w:rPr>
          <w:b/>
          <w:bCs/>
          <w:color w:val="002d3b"/>
          <w:sz w:val="32"/>
          <w:szCs w:val="32"/>
        </w:rPr>
        <w:t xml:space="preserve">VIII. Contact Us Page (Page: /contact)</w:t>
      </w:r>
    </w:p>
    <w:p>
      <w:pPr>
        <w:pBdr>
          <w:bottom w:val="single" w:color="009999" w:sz="6"/>
        </w:pBdr>
        <w:spacing w:after="200" w:before="200"/>
      </w:pPr>
    </w:p>
    <w:p>
      <w:pPr>
        <w:pStyle w:val="Heading2"/>
        <w:keepNext/>
        <w:spacing w:after="150" w:before="300"/>
      </w:pPr>
      <w:r>
        <w:rPr>
          <w:b/>
          <w:bCs/>
          <w:color w:val="009999"/>
          <w:sz w:val="24"/>
          <w:szCs w:val="24"/>
        </w:rPr>
        <w:t xml:space="preserve">Page Hero Section</w:t>
      </w:r>
    </w:p>
    <w:p>
      <w:pPr>
        <w:spacing w:after="150"/>
      </w:pPr>
      <w:r>
        <w:rPr>
          <w:sz w:val="22"/>
          <w:szCs w:val="22"/>
        </w:rPr>
        <w:t xml:space="preserve">Label: Corporate Contact Portal</w:t>
      </w:r>
    </w:p>
    <w:p>
      <w:pPr>
        <w:spacing w:after="150"/>
      </w:pPr>
      <w:r>
        <w:rPr>
          <w:sz w:val="22"/>
          <w:szCs w:val="22"/>
        </w:rPr>
        <w:t xml:space="preserve">Heading: Contact TAKNISER</w:t>
      </w:r>
    </w:p>
    <w:p>
      <w:pPr>
        <w:spacing w:after="150"/>
      </w:pPr>
      <w:r>
        <w:rPr>
          <w:sz w:val="22"/>
          <w:szCs w:val="22"/>
        </w:rPr>
        <w:t xml:space="preserve">Description: Whether you are a manufacturer, government body, EPC contractor, OEM, or institutional buyer — our global corporate team is ready to respond to your inquiry.</w:t>
      </w:r>
    </w:p>
    <w:p>
      <w:pPr>
        <w:pStyle w:val="Heading2"/>
        <w:keepNext/>
        <w:spacing w:after="150" w:before="300"/>
      </w:pPr>
      <w:r>
        <w:rPr>
          <w:b/>
          <w:bCs/>
          <w:color w:val="009999"/>
          <w:sz w:val="24"/>
          <w:szCs w:val="24"/>
        </w:rPr>
        <w:t xml:space="preserve">Corporate Contact Information</w:t>
      </w:r>
    </w:p>
    <w:p>
      <w:pPr>
        <w:pStyle w:val="ListParagraph"/>
        <w:numPr>
          <w:ilvl w:val="0"/>
          <w:numId w:val="1"/>
        </w:numPr>
        <w:spacing w:after="100"/>
      </w:pPr>
      <w:r>
        <w:rPr>
          <w:b/>
          <w:bCs/>
          <w:sz w:val="22"/>
          <w:szCs w:val="22"/>
        </w:rPr>
        <w:t xml:space="preserve">• Global Headquarters: </w:t>
      </w:r>
      <w:r>
        <w:rPr>
          <w:sz w:val="22"/>
          <w:szCs w:val="22"/>
        </w:rPr>
        <w:t xml:space="preserve">TAKNISER GmbH, Hesse (Hessen), Germany</w:t>
      </w:r>
    </w:p>
    <w:p>
      <w:pPr>
        <w:pStyle w:val="ListParagraph"/>
        <w:numPr>
          <w:ilvl w:val="0"/>
          <w:numId w:val="1"/>
        </w:numPr>
        <w:spacing w:after="100"/>
      </w:pPr>
      <w:r>
        <w:rPr>
          <w:b/>
          <w:bCs/>
          <w:sz w:val="22"/>
          <w:szCs w:val="22"/>
        </w:rPr>
        <w:t xml:space="preserve">• Global Network: </w:t>
      </w:r>
      <w:r>
        <w:rPr>
          <w:sz w:val="22"/>
          <w:szCs w:val="22"/>
        </w:rPr>
        <w:t xml:space="preserve">29 Regional Headquarters across 190+ Countries &amp; Territories</w:t>
      </w:r>
    </w:p>
    <w:p>
      <w:pPr>
        <w:pStyle w:val="ListParagraph"/>
        <w:numPr>
          <w:ilvl w:val="0"/>
          <w:numId w:val="1"/>
        </w:numPr>
        <w:spacing w:after="100"/>
      </w:pPr>
      <w:r>
        <w:rPr>
          <w:b/>
          <w:bCs/>
          <w:sz w:val="22"/>
          <w:szCs w:val="22"/>
        </w:rPr>
        <w:t xml:space="preserve">• Response Commitment: </w:t>
      </w:r>
      <w:r>
        <w:rPr>
          <w:sz w:val="22"/>
          <w:szCs w:val="22"/>
        </w:rPr>
        <w:t xml:space="preserve">Corporate inquiries are reviewed by our regional specialists within 1–3 business days.</w:t>
      </w:r>
    </w:p>
    <w:p>
      <w:pPr>
        <w:pStyle w:val="Heading2"/>
        <w:keepNext/>
        <w:spacing w:after="150" w:before="300"/>
      </w:pPr>
      <w:r>
        <w:rPr>
          <w:b/>
          <w:bCs/>
          <w:color w:val="009999"/>
          <w:sz w:val="24"/>
          <w:szCs w:val="24"/>
        </w:rPr>
        <w:t xml:space="preserve">Inquiry Areas</w:t>
      </w:r>
    </w:p>
    <w:p>
      <w:pPr>
        <w:spacing w:after="150"/>
      </w:pPr>
      <w:r>
        <w:rPr>
          <w:i/>
          <w:iCs/>
          <w:sz w:val="22"/>
          <w:szCs w:val="22"/>
        </w:rPr>
        <w:t xml:space="preserve">Industrial Equipment Sourcing, Global Procurement, EPC Project Supply, Engineering Consulting, Distribution Partnerships, Technology Solutions.</w:t>
      </w:r>
    </w:p>
    <w:p>
      <w:pPr>
        <w:pStyle w:val="Heading2"/>
        <w:keepNext/>
        <w:spacing w:after="150" w:before="300"/>
      </w:pPr>
      <w:r>
        <w:rPr>
          <w:b/>
          <w:bCs/>
          <w:color w:val="009999"/>
          <w:sz w:val="24"/>
          <w:szCs w:val="24"/>
        </w:rPr>
        <w:t xml:space="preserve">Global Logistics Hub</w:t>
      </w:r>
    </w:p>
    <w:p>
      <w:pPr>
        <w:spacing w:after="150"/>
      </w:pPr>
      <w:r>
        <w:rPr>
          <w:sz w:val="22"/>
          <w:szCs w:val="22"/>
        </w:rPr>
        <w:t xml:space="preserve">Our JAFZA Logistics Hub in UAE serves as the primary global distribution &amp; free zone logistics center for Middle East, Africa, and Asia operations.</w:t>
      </w:r>
    </w:p>
    <w:p>
      <w:pPr>
        <w:pageBreakBefore/>
      </w:pPr>
    </w:p>
    <w:p>
      <w:pPr>
        <w:pStyle w:val="Heading1"/>
        <w:keepNext/>
        <w:spacing w:after="200" w:before="400"/>
      </w:pPr>
      <w:r>
        <w:rPr>
          <w:b/>
          <w:bCs/>
          <w:color w:val="002d3b"/>
          <w:sz w:val="32"/>
          <w:szCs w:val="32"/>
        </w:rPr>
        <w:t xml:space="preserve">IX. Privacy Policy Page (Page: /privacy)</w:t>
      </w:r>
    </w:p>
    <w:p>
      <w:pPr>
        <w:pBdr>
          <w:bottom w:val="single" w:color="009999" w:sz="6"/>
        </w:pBdr>
        <w:spacing w:after="200" w:before="200"/>
      </w:pPr>
    </w:p>
    <w:p>
      <w:pPr>
        <w:pStyle w:val="Heading2"/>
        <w:keepNext/>
        <w:spacing w:after="150" w:before="300"/>
      </w:pPr>
      <w:r>
        <w:rPr>
          <w:b/>
          <w:bCs/>
          <w:color w:val="009999"/>
          <w:sz w:val="24"/>
          <w:szCs w:val="24"/>
        </w:rPr>
        <w:t xml:space="preserve">1. Data Controller</w:t>
      </w:r>
    </w:p>
    <w:p>
      <w:pPr>
        <w:spacing w:after="150"/>
      </w:pPr>
      <w:r>
        <w:rPr>
          <w:sz w:val="22"/>
          <w:szCs w:val="22"/>
        </w:rPr>
        <w:t xml:space="preserve">TAKNISER GmbH, headquartered in Hesse (Hessen), Germany, is the data controller responsible for the personal data collected through this platform.</w:t>
      </w:r>
    </w:p>
    <w:p>
      <w:pPr>
        <w:pStyle w:val="Heading2"/>
        <w:keepNext/>
        <w:spacing w:after="150" w:before="300"/>
      </w:pPr>
      <w:r>
        <w:rPr>
          <w:b/>
          <w:bCs/>
          <w:color w:val="009999"/>
          <w:sz w:val="24"/>
          <w:szCs w:val="24"/>
        </w:rPr>
        <w:t xml:space="preserve">2. Data We Collect</w:t>
      </w:r>
    </w:p>
    <w:p>
      <w:pPr>
        <w:spacing w:after="150"/>
      </w:pPr>
      <w:r>
        <w:rPr>
          <w:sz w:val="22"/>
          <w:szCs w:val="22"/>
        </w:rPr>
        <w:t xml:space="preserve">When you submit a contact inquiry, we collect: full name, company name, business email address, phone number (optional), country, subject, and message content. We also collect your IP address for security and spam prevention purposes.</w:t>
      </w:r>
    </w:p>
    <w:p>
      <w:pPr>
        <w:pStyle w:val="Heading2"/>
        <w:keepNext/>
        <w:spacing w:after="150" w:before="300"/>
      </w:pPr>
      <w:r>
        <w:rPr>
          <w:b/>
          <w:bCs/>
          <w:color w:val="009999"/>
          <w:sz w:val="24"/>
          <w:szCs w:val="24"/>
        </w:rPr>
        <w:t xml:space="preserve">3. Purpose of Processing</w:t>
      </w:r>
    </w:p>
    <w:p>
      <w:pPr>
        <w:spacing w:after="150"/>
      </w:pPr>
      <w:r>
        <w:rPr>
          <w:sz w:val="22"/>
          <w:szCs w:val="22"/>
        </w:rPr>
        <w:t xml:space="preserve">Your data is collected solely for the purpose of responding to your corporate inquiry, communicating relevant TAKNISER products and services, and maintaining our business relationship.</w:t>
      </w:r>
    </w:p>
    <w:p>
      <w:pPr>
        <w:pStyle w:val="Heading2"/>
        <w:keepNext/>
        <w:spacing w:after="150" w:before="300"/>
      </w:pPr>
      <w:r>
        <w:rPr>
          <w:b/>
          <w:bCs/>
          <w:color w:val="009999"/>
          <w:sz w:val="24"/>
          <w:szCs w:val="24"/>
        </w:rPr>
        <w:t xml:space="preserve">4. Data Retention</w:t>
      </w:r>
    </w:p>
    <w:p>
      <w:pPr>
        <w:spacing w:after="150"/>
      </w:pPr>
      <w:r>
        <w:rPr>
          <w:sz w:val="22"/>
          <w:szCs w:val="22"/>
        </w:rPr>
        <w:t xml:space="preserve">Corporate inquiry data is retained for a period necessary to fulfil the inquiry and maintain appropriate business records, in accordance with applicable German and international data protection regulations.</w:t>
      </w:r>
    </w:p>
    <w:p>
      <w:pPr>
        <w:pStyle w:val="Heading2"/>
        <w:keepNext/>
        <w:spacing w:after="150" w:before="300"/>
      </w:pPr>
      <w:r>
        <w:rPr>
          <w:b/>
          <w:bCs/>
          <w:color w:val="009999"/>
          <w:sz w:val="24"/>
          <w:szCs w:val="24"/>
        </w:rPr>
        <w:t xml:space="preserve">5. Your Rights</w:t>
      </w:r>
    </w:p>
    <w:p>
      <w:pPr>
        <w:spacing w:after="150"/>
      </w:pPr>
      <w:r>
        <w:rPr>
          <w:sz w:val="22"/>
          <w:szCs w:val="22"/>
        </w:rPr>
        <w:t xml:space="preserve">Under GDPR and applicable data protection law, you have the right to access, correct, delete, or restrict processing of your personal data. To exercise these rights, submit a request through our corporate contact portal.</w:t>
      </w:r>
    </w:p>
    <w:p>
      <w:pPr>
        <w:pStyle w:val="Heading2"/>
        <w:keepNext/>
        <w:spacing w:after="150" w:before="300"/>
      </w:pPr>
      <w:r>
        <w:rPr>
          <w:b/>
          <w:bCs/>
          <w:color w:val="009999"/>
          <w:sz w:val="24"/>
          <w:szCs w:val="24"/>
        </w:rPr>
        <w:t xml:space="preserve">6. Contact</w:t>
      </w:r>
    </w:p>
    <w:p>
      <w:pPr>
        <w:spacing w:after="150"/>
      </w:pPr>
      <w:r>
        <w:rPr>
          <w:sz w:val="22"/>
          <w:szCs w:val="22"/>
        </w:rPr>
        <w:t xml:space="preserve">For any data protection enquiries, please contact TAKNISER GmbH through our corporate contact portal at takniser.com/contact.</w:t>
      </w:r>
    </w:p>
    <w:p>
      <w:pPr>
        <w:pageBreakBefore/>
      </w:pPr>
    </w:p>
    <w:p>
      <w:pPr>
        <w:pStyle w:val="Heading1"/>
        <w:keepNext/>
        <w:spacing w:after="200" w:before="400"/>
      </w:pPr>
      <w:r>
        <w:rPr>
          <w:b/>
          <w:bCs/>
          <w:color w:val="002d3b"/>
          <w:sz w:val="32"/>
          <w:szCs w:val="32"/>
        </w:rPr>
        <w:t xml:space="preserve">X. Terms of Use Page (Page: /terms)</w:t>
      </w:r>
    </w:p>
    <w:p>
      <w:pPr>
        <w:pBdr>
          <w:bottom w:val="single" w:color="009999" w:sz="6"/>
        </w:pBdr>
        <w:spacing w:after="200" w:before="200"/>
      </w:pPr>
    </w:p>
    <w:p>
      <w:pPr>
        <w:pStyle w:val="Heading2"/>
        <w:keepNext/>
        <w:spacing w:after="150" w:before="300"/>
      </w:pPr>
      <w:r>
        <w:rPr>
          <w:b/>
          <w:bCs/>
          <w:color w:val="009999"/>
          <w:sz w:val="24"/>
          <w:szCs w:val="24"/>
        </w:rPr>
        <w:t xml:space="preserve">1. Acceptance of Terms</w:t>
      </w:r>
    </w:p>
    <w:p>
      <w:pPr>
        <w:spacing w:after="150"/>
      </w:pPr>
      <w:r>
        <w:rPr>
          <w:sz w:val="22"/>
          <w:szCs w:val="22"/>
        </w:rPr>
        <w:t xml:space="preserve">By accessing and using the TAKNISER ONE GLOBE platform, you agree to be bound by these Terms of Use and all applicable laws and regulations governing TAKNISER GmbH, a company incorporated in Germany.</w:t>
      </w:r>
    </w:p>
    <w:p>
      <w:pPr>
        <w:pStyle w:val="Heading2"/>
        <w:keepNext/>
        <w:spacing w:after="150" w:before="300"/>
      </w:pPr>
      <w:r>
        <w:rPr>
          <w:b/>
          <w:bCs/>
          <w:color w:val="009999"/>
          <w:sz w:val="24"/>
          <w:szCs w:val="24"/>
        </w:rPr>
        <w:t xml:space="preserve">2. Use of Platform</w:t>
      </w:r>
    </w:p>
    <w:p>
      <w:pPr>
        <w:spacing w:after="150"/>
      </w:pPr>
      <w:r>
        <w:rPr>
          <w:sz w:val="22"/>
          <w:szCs w:val="22"/>
        </w:rPr>
        <w:t xml:space="preserve">This platform is designed for corporate business inquiries, information dissemination, and engagement with TAKNISER ONE GLOBE's global industrial operations. Unauthorized commercial use, data scraping, or any attempt to compromise platform security is strictly prohibited.</w:t>
      </w:r>
    </w:p>
    <w:p>
      <w:pPr>
        <w:pStyle w:val="Heading2"/>
        <w:keepNext/>
        <w:spacing w:after="150" w:before="300"/>
      </w:pPr>
      <w:r>
        <w:rPr>
          <w:b/>
          <w:bCs/>
          <w:color w:val="009999"/>
          <w:sz w:val="24"/>
          <w:szCs w:val="24"/>
        </w:rPr>
        <w:t xml:space="preserve">3. Intellectual Property</w:t>
      </w:r>
    </w:p>
    <w:p>
      <w:pPr>
        <w:spacing w:after="150"/>
      </w:pPr>
      <w:r>
        <w:rPr>
          <w:sz w:val="22"/>
          <w:szCs w:val="22"/>
        </w:rPr>
        <w:t xml:space="preserve">All content, logos, brand assets, text, and design on this platform are the exclusive intellectual property of TAKNISER GmbH. Unauthorized reproduction, distribution, or modification is prohibited.</w:t>
      </w:r>
    </w:p>
    <w:p>
      <w:pPr>
        <w:pStyle w:val="Heading2"/>
        <w:keepNext/>
        <w:spacing w:after="150" w:before="300"/>
      </w:pPr>
      <w:r>
        <w:rPr>
          <w:b/>
          <w:bCs/>
          <w:color w:val="009999"/>
          <w:sz w:val="24"/>
          <w:szCs w:val="24"/>
        </w:rPr>
        <w:t xml:space="preserve">4. Limitation of Liability</w:t>
      </w:r>
    </w:p>
    <w:p>
      <w:pPr>
        <w:spacing w:after="150"/>
      </w:pPr>
      <w:r>
        <w:rPr>
          <w:sz w:val="22"/>
          <w:szCs w:val="22"/>
        </w:rPr>
        <w:t xml:space="preserve">TAKNISER GmbH provides this platform 'as is' for informational and business enquiry purposes. Information herein does not constitute a legally binding commercial offer unless confirmed by a formal contract executed by authorized TAKNISER representatives.</w:t>
      </w:r>
    </w:p>
    <w:p>
      <w:pPr>
        <w:pStyle w:val="Heading2"/>
        <w:keepNext/>
        <w:spacing w:after="150" w:before="300"/>
      </w:pPr>
      <w:r>
        <w:rPr>
          <w:b/>
          <w:bCs/>
          <w:color w:val="009999"/>
          <w:sz w:val="24"/>
          <w:szCs w:val="24"/>
        </w:rPr>
        <w:t xml:space="preserve">5. Governing Law</w:t>
      </w:r>
    </w:p>
    <w:p>
      <w:pPr>
        <w:spacing w:after="150"/>
      </w:pPr>
      <w:r>
        <w:rPr>
          <w:sz w:val="22"/>
          <w:szCs w:val="22"/>
        </w:rPr>
        <w:t xml:space="preserve">These Terms shall be governed by the laws of the Federal Republic of Germany. Any disputes arising shall be subject to the jurisdiction of the competent courts of Hesse, Germany.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9999"/>
        <w:sz w:val="16"/>
        <w:szCs w:val="16"/>
      </w:rPr>
      <w:t xml:space="preserve">TAKNISER ONE GLOBE — Complete Website Content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TAKNISER ONE GLOBE Complete Website Copy</dc:title>
  <dc:creator>Un-named</dc:creator>
  <dc:description>Complete verbatim content from all pages of the TAKNISER ONE GLOBE website.</dc:description>
  <cp:lastModifiedBy>Un-named</cp:lastModifiedBy>
  <cp:revision>1</cp:revision>
  <dcterms:created xsi:type="dcterms:W3CDTF">2026-08-23T15:52:58.528Z</dcterms:created>
  <dcterms:modified xsi:type="dcterms:W3CDTF">2026-08-23T15:52:58.529Z</dcterms:modified>
</cp:coreProperties>
</file>

<file path=docProps/custom.xml><?xml version="1.0" encoding="utf-8"?>
<Properties xmlns="http://schemas.openxmlformats.org/officeDocument/2006/custom-properties" xmlns:vt="http://schemas.openxmlformats.org/officeDocument/2006/docPropsVTypes"/>
</file>