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2256" w:rsidRDefault="0060493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</w:t>
      </w:r>
      <w:r w:rsidRPr="0030549F">
        <w:rPr>
          <w:b/>
          <w:bCs/>
          <w:color w:val="C0504D" w:themeColor="accent2"/>
          <w:sz w:val="48"/>
          <w:szCs w:val="48"/>
          <w:lang w:val="en-US"/>
        </w:rPr>
        <w:t>VENDOR PERFORMANCE REPORT</w:t>
      </w:r>
    </w:p>
    <w:p w:rsidR="00C70BE3" w:rsidRDefault="00C70BE3" w:rsidP="00604937">
      <w:pPr>
        <w:rPr>
          <w:b/>
          <w:bCs/>
          <w:sz w:val="28"/>
          <w:szCs w:val="28"/>
          <w:lang w:val="en-US"/>
        </w:rPr>
      </w:pPr>
    </w:p>
    <w:p w:rsidR="00604937" w:rsidRPr="0030549F" w:rsidRDefault="00604937" w:rsidP="00604937">
      <w:pPr>
        <w:rPr>
          <w:b/>
          <w:bCs/>
          <w:color w:val="C0504D" w:themeColor="accent2"/>
          <w:sz w:val="28"/>
          <w:szCs w:val="28"/>
          <w:lang w:val="en-US"/>
        </w:rPr>
      </w:pPr>
      <w:r w:rsidRPr="0030549F">
        <w:rPr>
          <w:b/>
          <w:bCs/>
          <w:color w:val="C0504D" w:themeColor="accent2"/>
          <w:sz w:val="28"/>
          <w:szCs w:val="28"/>
          <w:lang w:val="en-US"/>
        </w:rPr>
        <w:t>EXPLORATORY DATA ANALYSIS</w:t>
      </w:r>
    </w:p>
    <w:p w:rsidR="00604937" w:rsidRPr="00604937" w:rsidRDefault="00604937" w:rsidP="00604937">
      <w:pPr>
        <w:rPr>
          <w:sz w:val="24"/>
          <w:szCs w:val="24"/>
        </w:rPr>
      </w:pPr>
      <w:r w:rsidRPr="00604937">
        <w:rPr>
          <w:sz w:val="24"/>
          <w:szCs w:val="24"/>
        </w:rPr>
        <w:t xml:space="preserve"> In the earlier stage, we reviewed the available tables in the dataset to identify key variables, understand their relationships, and determine which should be included in the final analysis.</w:t>
      </w:r>
    </w:p>
    <w:p w:rsidR="00604937" w:rsidRDefault="00604937" w:rsidP="00604937">
      <w:pPr>
        <w:rPr>
          <w:sz w:val="24"/>
          <w:szCs w:val="24"/>
        </w:rPr>
      </w:pPr>
      <w:r w:rsidRPr="00604937">
        <w:rPr>
          <w:sz w:val="24"/>
          <w:szCs w:val="24"/>
        </w:rPr>
        <w:t xml:space="preserve"> During the Exploratory Data Analysis (EDA) phase, we will </w:t>
      </w:r>
      <w:proofErr w:type="spellStart"/>
      <w:r w:rsidRPr="00604937">
        <w:rPr>
          <w:sz w:val="24"/>
          <w:szCs w:val="24"/>
        </w:rPr>
        <w:t>analyze</w:t>
      </w:r>
      <w:proofErr w:type="spellEnd"/>
      <w:r w:rsidRPr="00604937">
        <w:rPr>
          <w:sz w:val="24"/>
          <w:szCs w:val="24"/>
        </w:rPr>
        <w:t xml:space="preserve"> the consolidated table to examine the distribution of each column. This step will help us uncover data patterns, detect anomalies, and validate data quality before proceeding with further analysis.</w:t>
      </w:r>
    </w:p>
    <w:p w:rsidR="00905814" w:rsidRPr="0030549F" w:rsidRDefault="00905814" w:rsidP="00604937">
      <w:pPr>
        <w:rPr>
          <w:color w:val="C0504D" w:themeColor="accent2"/>
          <w:sz w:val="24"/>
          <w:szCs w:val="24"/>
        </w:rPr>
      </w:pPr>
      <w:r w:rsidRPr="0030549F">
        <w:rPr>
          <w:b/>
          <w:bCs/>
          <w:color w:val="C0504D" w:themeColor="accent2"/>
          <w:sz w:val="28"/>
          <w:szCs w:val="28"/>
        </w:rPr>
        <w:t>SUMMARY STATISTICS</w:t>
      </w:r>
    </w:p>
    <w:p w:rsidR="00C70BE3" w:rsidRDefault="00905814" w:rsidP="006049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78654" wp14:editId="06E93031">
            <wp:extent cx="5730240" cy="5534025"/>
            <wp:effectExtent l="0" t="0" r="3810" b="9525"/>
            <wp:docPr id="169626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69431" name="Picture 1696269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48" cy="55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3" w:rsidRDefault="00905814" w:rsidP="00604937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05525" cy="2476500"/>
            <wp:effectExtent l="0" t="0" r="9525" b="0"/>
            <wp:docPr id="2032758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58728" name="Picture 2032758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3" w:rsidRPr="00604937" w:rsidRDefault="00905814" w:rsidP="006049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270760"/>
            <wp:effectExtent l="0" t="0" r="0" b="0"/>
            <wp:docPr id="1417538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38416" name="Picture 1417538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14" w:rsidRPr="00905814" w:rsidRDefault="00905814" w:rsidP="00905814">
      <w:pPr>
        <w:rPr>
          <w:b/>
          <w:bCs/>
          <w:color w:val="C0504D" w:themeColor="accent2"/>
          <w:sz w:val="28"/>
          <w:szCs w:val="28"/>
        </w:rPr>
      </w:pPr>
      <w:r w:rsidRPr="00905814">
        <w:rPr>
          <w:b/>
          <w:bCs/>
          <w:color w:val="C0504D" w:themeColor="accent2"/>
          <w:sz w:val="28"/>
          <w:szCs w:val="28"/>
        </w:rPr>
        <w:t>Summary Statistics Insights</w:t>
      </w:r>
    </w:p>
    <w:p w:rsidR="00905814" w:rsidRPr="00905814" w:rsidRDefault="00905814" w:rsidP="00905814">
      <w:p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Negative &amp; Zero Values</w:t>
      </w:r>
    </w:p>
    <w:p w:rsidR="00905814" w:rsidRPr="00905814" w:rsidRDefault="00905814" w:rsidP="00905814">
      <w:pPr>
        <w:numPr>
          <w:ilvl w:val="0"/>
          <w:numId w:val="1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Gross Profit</w:t>
      </w:r>
      <w:r w:rsidRPr="00905814">
        <w:rPr>
          <w:sz w:val="24"/>
          <w:szCs w:val="24"/>
        </w:rPr>
        <w:t>: The minimum value is negative, indicating losses. This suggests certain products or transactions may be sold at a loss due to high procurement costs or heavy discounting below purchase price.</w:t>
      </w:r>
    </w:p>
    <w:p w:rsidR="00905814" w:rsidRPr="00905814" w:rsidRDefault="00905814" w:rsidP="00905814">
      <w:pPr>
        <w:numPr>
          <w:ilvl w:val="0"/>
          <w:numId w:val="1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Profit Margin</w:t>
      </w:r>
      <w:r w:rsidRPr="00905814">
        <w:rPr>
          <w:sz w:val="24"/>
          <w:szCs w:val="24"/>
        </w:rPr>
        <w:t>: The minimum is recorded as negative infinity, which occurs in cases where revenue is zero or lower than the associated costs.</w:t>
      </w:r>
    </w:p>
    <w:p w:rsidR="00905814" w:rsidRPr="00905814" w:rsidRDefault="00905814" w:rsidP="00905814">
      <w:pPr>
        <w:numPr>
          <w:ilvl w:val="0"/>
          <w:numId w:val="1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Total Sales Quantity &amp; Sales Dollars</w:t>
      </w:r>
      <w:r w:rsidRPr="00905814">
        <w:rPr>
          <w:sz w:val="24"/>
          <w:szCs w:val="24"/>
        </w:rPr>
        <w:t>: Minimum values are zero, suggesting that some products were purchased but never sold. These may represent slow-moving or obsolete stock.</w:t>
      </w:r>
    </w:p>
    <w:p w:rsidR="00905814" w:rsidRPr="00905814" w:rsidRDefault="00905814" w:rsidP="00905814">
      <w:p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Outliers Indicated by High Standard Deviation</w:t>
      </w:r>
    </w:p>
    <w:p w:rsidR="00905814" w:rsidRPr="00905814" w:rsidRDefault="00905814" w:rsidP="00905814">
      <w:pPr>
        <w:numPr>
          <w:ilvl w:val="0"/>
          <w:numId w:val="2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Purchase Price &amp; Actual Price</w:t>
      </w:r>
      <w:r w:rsidRPr="00905814">
        <w:rPr>
          <w:sz w:val="24"/>
          <w:szCs w:val="24"/>
        </w:rPr>
        <w:t>: Maximum values are significantly higher than the mean, pointing to the presence of premium or high-value products.</w:t>
      </w:r>
    </w:p>
    <w:p w:rsidR="00905814" w:rsidRPr="00905814" w:rsidRDefault="00905814" w:rsidP="00905814">
      <w:pPr>
        <w:numPr>
          <w:ilvl w:val="0"/>
          <w:numId w:val="2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lastRenderedPageBreak/>
        <w:t>Freight Cost</w:t>
      </w:r>
      <w:r w:rsidRPr="00905814">
        <w:rPr>
          <w:sz w:val="24"/>
          <w:szCs w:val="24"/>
        </w:rPr>
        <w:t>: A wide variation in costs indicates potential logistics inefficiencies or the impact of bulk shipment charges.</w:t>
      </w:r>
    </w:p>
    <w:p w:rsidR="00905814" w:rsidRPr="00905814" w:rsidRDefault="00905814" w:rsidP="00905814">
      <w:pPr>
        <w:numPr>
          <w:ilvl w:val="0"/>
          <w:numId w:val="2"/>
        </w:numPr>
        <w:rPr>
          <w:sz w:val="24"/>
          <w:szCs w:val="24"/>
        </w:rPr>
      </w:pPr>
      <w:r w:rsidRPr="00905814">
        <w:rPr>
          <w:b/>
          <w:bCs/>
          <w:sz w:val="24"/>
          <w:szCs w:val="24"/>
        </w:rPr>
        <w:t>Stock Turnover</w:t>
      </w:r>
      <w:r w:rsidRPr="00905814">
        <w:rPr>
          <w:sz w:val="24"/>
          <w:szCs w:val="24"/>
        </w:rPr>
        <w:t>: High variability suggests some products sell rapidly while others remain in stock indefinitely. A value greater than 1 indicates that sales for a product exceeded its recent purchases, possibly due to fulfilling demand from older inventory.</w:t>
      </w:r>
    </w:p>
    <w:p w:rsidR="00604937" w:rsidRPr="0030549F" w:rsidRDefault="00905814" w:rsidP="00604937">
      <w:pPr>
        <w:rPr>
          <w:b/>
          <w:bCs/>
          <w:color w:val="C0504D" w:themeColor="accent2"/>
          <w:sz w:val="28"/>
          <w:szCs w:val="28"/>
          <w:lang w:val="en-US"/>
        </w:rPr>
      </w:pPr>
      <w:r w:rsidRPr="0030549F">
        <w:rPr>
          <w:b/>
          <w:bCs/>
          <w:color w:val="C0504D" w:themeColor="accent2"/>
          <w:sz w:val="28"/>
          <w:szCs w:val="28"/>
          <w:lang w:val="en-US"/>
        </w:rPr>
        <w:t>Data Filtering</w:t>
      </w:r>
    </w:p>
    <w:p w:rsidR="00454E94" w:rsidRPr="00454E94" w:rsidRDefault="00454E94" w:rsidP="00454E94">
      <w:pPr>
        <w:rPr>
          <w:sz w:val="24"/>
          <w:szCs w:val="24"/>
        </w:rPr>
      </w:pPr>
      <w:r w:rsidRPr="00454E94">
        <w:rPr>
          <w:sz w:val="24"/>
          <w:szCs w:val="24"/>
        </w:rPr>
        <w:t>To enhance the reliability of insights, inconsistent data points were excluded based on the following criteria:</w:t>
      </w:r>
    </w:p>
    <w:p w:rsidR="00454E94" w:rsidRPr="00454E94" w:rsidRDefault="00454E94" w:rsidP="00454E94">
      <w:pPr>
        <w:numPr>
          <w:ilvl w:val="0"/>
          <w:numId w:val="7"/>
        </w:numPr>
        <w:rPr>
          <w:sz w:val="24"/>
          <w:szCs w:val="24"/>
        </w:rPr>
      </w:pPr>
      <w:r w:rsidRPr="00454E94">
        <w:rPr>
          <w:b/>
          <w:bCs/>
          <w:sz w:val="24"/>
          <w:szCs w:val="24"/>
        </w:rPr>
        <w:t>Gross Profit ≤ 0</w:t>
      </w:r>
      <w:r w:rsidRPr="00454E94">
        <w:rPr>
          <w:sz w:val="24"/>
          <w:szCs w:val="24"/>
        </w:rPr>
        <w:t>: Transactions resulting in losses were removed.</w:t>
      </w:r>
    </w:p>
    <w:p w:rsidR="00454E94" w:rsidRPr="00454E94" w:rsidRDefault="00454E94" w:rsidP="00454E94">
      <w:pPr>
        <w:numPr>
          <w:ilvl w:val="0"/>
          <w:numId w:val="7"/>
        </w:numPr>
        <w:rPr>
          <w:sz w:val="24"/>
          <w:szCs w:val="24"/>
        </w:rPr>
      </w:pPr>
      <w:r w:rsidRPr="00454E94">
        <w:rPr>
          <w:b/>
          <w:bCs/>
          <w:sz w:val="24"/>
          <w:szCs w:val="24"/>
        </w:rPr>
        <w:t>Profit Margin ≤ 0</w:t>
      </w:r>
      <w:r w:rsidRPr="00454E94">
        <w:rPr>
          <w:sz w:val="24"/>
          <w:szCs w:val="24"/>
        </w:rPr>
        <w:t>: Only profitable transactions were retained for analysis.</w:t>
      </w:r>
    </w:p>
    <w:p w:rsidR="00454E94" w:rsidRPr="00454E94" w:rsidRDefault="00454E94" w:rsidP="00454E94">
      <w:pPr>
        <w:numPr>
          <w:ilvl w:val="0"/>
          <w:numId w:val="7"/>
        </w:numPr>
        <w:rPr>
          <w:sz w:val="24"/>
          <w:szCs w:val="24"/>
        </w:rPr>
      </w:pPr>
      <w:r w:rsidRPr="00454E94">
        <w:rPr>
          <w:b/>
          <w:bCs/>
          <w:sz w:val="24"/>
          <w:szCs w:val="24"/>
        </w:rPr>
        <w:t>Total Sales Quantity = 0</w:t>
      </w:r>
      <w:r w:rsidRPr="00454E94">
        <w:rPr>
          <w:sz w:val="24"/>
          <w:szCs w:val="24"/>
        </w:rPr>
        <w:t>: Inventory items that were never sold were eliminated.</w:t>
      </w:r>
    </w:p>
    <w:p w:rsidR="00454E94" w:rsidRPr="0030549F" w:rsidRDefault="00454E94" w:rsidP="00905814">
      <w:pPr>
        <w:rPr>
          <w:b/>
          <w:bCs/>
          <w:color w:val="C0504D" w:themeColor="accent2"/>
          <w:sz w:val="28"/>
          <w:szCs w:val="28"/>
          <w:lang w:val="en-US"/>
        </w:rPr>
      </w:pPr>
      <w:r w:rsidRPr="0030549F">
        <w:rPr>
          <w:b/>
          <w:bCs/>
          <w:color w:val="C0504D" w:themeColor="accent2"/>
          <w:sz w:val="28"/>
          <w:szCs w:val="28"/>
          <w:lang w:val="en-US"/>
        </w:rPr>
        <w:t>Correlation Insights</w:t>
      </w:r>
    </w:p>
    <w:p w:rsidR="00454E94" w:rsidRDefault="00454E9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5D720B" wp14:editId="76ECDEAB">
            <wp:extent cx="5731119" cy="4257675"/>
            <wp:effectExtent l="0" t="0" r="3175" b="0"/>
            <wp:docPr id="324092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2235" name="Picture 324092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54" cy="42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 w:type="page"/>
      </w:r>
    </w:p>
    <w:p w:rsidR="0030549F" w:rsidRDefault="0030549F" w:rsidP="0030549F">
      <w:pPr>
        <w:rPr>
          <w:b/>
          <w:bCs/>
          <w:color w:val="C0504D" w:themeColor="accent2"/>
          <w:sz w:val="28"/>
          <w:szCs w:val="28"/>
        </w:rPr>
      </w:pPr>
    </w:p>
    <w:p w:rsidR="0030549F" w:rsidRPr="0030549F" w:rsidRDefault="0030549F" w:rsidP="0030549F">
      <w:pPr>
        <w:rPr>
          <w:b/>
          <w:bCs/>
          <w:color w:val="C0504D" w:themeColor="accent2"/>
          <w:sz w:val="28"/>
          <w:szCs w:val="28"/>
        </w:rPr>
      </w:pPr>
      <w:r w:rsidRPr="0030549F">
        <w:rPr>
          <w:b/>
          <w:bCs/>
          <w:color w:val="C0504D" w:themeColor="accent2"/>
          <w:sz w:val="28"/>
          <w:szCs w:val="28"/>
        </w:rPr>
        <w:t>Correlation Insights</w:t>
      </w:r>
    </w:p>
    <w:p w:rsidR="0030549F" w:rsidRPr="0030549F" w:rsidRDefault="0030549F" w:rsidP="0030549F">
      <w:pPr>
        <w:numPr>
          <w:ilvl w:val="0"/>
          <w:numId w:val="8"/>
        </w:numPr>
        <w:rPr>
          <w:sz w:val="24"/>
          <w:szCs w:val="24"/>
        </w:rPr>
      </w:pPr>
      <w:r w:rsidRPr="0030549F">
        <w:rPr>
          <w:sz w:val="24"/>
          <w:szCs w:val="24"/>
        </w:rPr>
        <w:t>Purchase Price shows a weak correlation with both Total Sales Dollars and Gross Profit, indicating that variations in purchase price have minimal impact on sales revenue or profitability.</w:t>
      </w:r>
    </w:p>
    <w:p w:rsidR="0030549F" w:rsidRPr="0030549F" w:rsidRDefault="0030549F" w:rsidP="0030549F">
      <w:pPr>
        <w:numPr>
          <w:ilvl w:val="0"/>
          <w:numId w:val="8"/>
        </w:numPr>
        <w:rPr>
          <w:sz w:val="24"/>
          <w:szCs w:val="24"/>
        </w:rPr>
      </w:pPr>
      <w:r w:rsidRPr="0030549F">
        <w:rPr>
          <w:sz w:val="24"/>
          <w:szCs w:val="24"/>
        </w:rPr>
        <w:t>A negative correlation between Profit Margin and Sales Price suggests that as sales prices increase, profit margins tend to decline, potentially due to competitive pricing pressures.</w:t>
      </w:r>
    </w:p>
    <w:p w:rsidR="0030549F" w:rsidRPr="0030549F" w:rsidRDefault="0030549F" w:rsidP="0030549F">
      <w:pPr>
        <w:numPr>
          <w:ilvl w:val="0"/>
          <w:numId w:val="8"/>
        </w:numPr>
        <w:rPr>
          <w:sz w:val="24"/>
          <w:szCs w:val="24"/>
        </w:rPr>
      </w:pPr>
      <w:r w:rsidRPr="0030549F">
        <w:rPr>
          <w:sz w:val="24"/>
          <w:szCs w:val="24"/>
        </w:rPr>
        <w:t>There is a strong positive correlation between Total Purchase Quantity and Total Sales Quantity, confirming efficient inventory turnover.</w:t>
      </w:r>
    </w:p>
    <w:p w:rsidR="0030549F" w:rsidRPr="0030549F" w:rsidRDefault="0030549F" w:rsidP="0030549F">
      <w:pPr>
        <w:numPr>
          <w:ilvl w:val="0"/>
          <w:numId w:val="8"/>
        </w:numPr>
        <w:rPr>
          <w:sz w:val="24"/>
          <w:szCs w:val="24"/>
        </w:rPr>
      </w:pPr>
      <w:r w:rsidRPr="0030549F">
        <w:rPr>
          <w:sz w:val="24"/>
          <w:szCs w:val="24"/>
        </w:rPr>
        <w:t>Stock Turnover exhibits a weak negative correlation with both Gross Profit and Profit, implying that faster inventory turnover does not necessarily translate into higher profitability.</w:t>
      </w:r>
    </w:p>
    <w:p w:rsidR="00454E94" w:rsidRDefault="00454E94">
      <w:pPr>
        <w:rPr>
          <w:b/>
          <w:bCs/>
          <w:sz w:val="28"/>
          <w:szCs w:val="28"/>
          <w:lang w:val="en-US"/>
        </w:rPr>
      </w:pPr>
    </w:p>
    <w:p w:rsidR="0030549F" w:rsidRDefault="0030549F" w:rsidP="00905814">
      <w:pPr>
        <w:rPr>
          <w:b/>
          <w:bCs/>
          <w:color w:val="C0504D" w:themeColor="accent2"/>
          <w:sz w:val="28"/>
          <w:szCs w:val="28"/>
          <w:lang w:val="en-US"/>
        </w:rPr>
      </w:pPr>
    </w:p>
    <w:p w:rsidR="0030549F" w:rsidRDefault="0030549F" w:rsidP="00905814">
      <w:pPr>
        <w:rPr>
          <w:b/>
          <w:bCs/>
          <w:color w:val="C0504D" w:themeColor="accent2"/>
          <w:sz w:val="28"/>
          <w:szCs w:val="28"/>
          <w:lang w:val="en-US"/>
        </w:rPr>
      </w:pPr>
    </w:p>
    <w:p w:rsidR="0030549F" w:rsidRDefault="0030549F" w:rsidP="00905814">
      <w:pPr>
        <w:rPr>
          <w:b/>
          <w:bCs/>
          <w:color w:val="C0504D" w:themeColor="accent2"/>
          <w:sz w:val="28"/>
          <w:szCs w:val="28"/>
          <w:lang w:val="en-US"/>
        </w:rPr>
      </w:pPr>
    </w:p>
    <w:p w:rsidR="0030549F" w:rsidRDefault="0030549F" w:rsidP="00905814">
      <w:pPr>
        <w:rPr>
          <w:b/>
          <w:bCs/>
          <w:color w:val="C0504D" w:themeColor="accent2"/>
          <w:sz w:val="28"/>
          <w:szCs w:val="28"/>
          <w:lang w:val="en-US"/>
        </w:rPr>
      </w:pPr>
    </w:p>
    <w:p w:rsidR="00454E94" w:rsidRDefault="0030549F" w:rsidP="00905814">
      <w:pPr>
        <w:rPr>
          <w:b/>
          <w:bCs/>
          <w:color w:val="C0504D" w:themeColor="accent2"/>
          <w:sz w:val="28"/>
          <w:szCs w:val="28"/>
          <w:lang w:val="en-US"/>
        </w:rPr>
      </w:pPr>
      <w:r w:rsidRPr="0030549F">
        <w:rPr>
          <w:b/>
          <w:bCs/>
          <w:color w:val="C0504D" w:themeColor="accent2"/>
          <w:sz w:val="28"/>
          <w:szCs w:val="28"/>
          <w:lang w:val="en-US"/>
        </w:rPr>
        <w:t>Research Questions &amp; Key Findings</w:t>
      </w:r>
    </w:p>
    <w:p w:rsidR="0030549F" w:rsidRDefault="0030549F" w:rsidP="0030549F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Brands for promotional or Pricing Adjustment</w:t>
      </w:r>
    </w:p>
    <w:p w:rsidR="0030549F" w:rsidRPr="0030549F" w:rsidRDefault="0030549F" w:rsidP="0030549F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94680" cy="1685925"/>
            <wp:effectExtent l="0" t="0" r="1270" b="9525"/>
            <wp:docPr id="2035458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8326" name="Picture 2035458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31" cy="16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9F" w:rsidRDefault="0030549F" w:rsidP="009058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00750" cy="3981450"/>
            <wp:effectExtent l="0" t="0" r="0" b="0"/>
            <wp:docPr id="346406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6523" name="Picture 346406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9F" w:rsidRPr="0030549F" w:rsidRDefault="0030549F" w:rsidP="0030549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 </w:t>
      </w:r>
      <w:r w:rsidR="00AA575B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>endors by Sales &amp; Purchase Contribution</w:t>
      </w:r>
    </w:p>
    <w:p w:rsidR="00717929" w:rsidRDefault="00717929" w:rsidP="00DA052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993515"/>
            <wp:effectExtent l="0" t="0" r="2540" b="6985"/>
            <wp:docPr id="11073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67900" name="Picture 11073679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6" w:rsidRPr="00DA0525" w:rsidRDefault="00717929" w:rsidP="00DA05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</w:t>
      </w:r>
      <w:r w:rsidR="006E1AC6" w:rsidRPr="00DA0525">
        <w:rPr>
          <w:b/>
          <w:bCs/>
          <w:sz w:val="28"/>
          <w:szCs w:val="28"/>
          <w:lang w:val="en-US"/>
        </w:rPr>
        <w:t xml:space="preserve">Impact of Bulk Purchasing on Cost Savings </w:t>
      </w:r>
    </w:p>
    <w:p w:rsidR="006E1AC6" w:rsidRDefault="006E1AC6" w:rsidP="006E1AC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Vendors buying in large quantities receive lower unit cost.</w:t>
      </w:r>
    </w:p>
    <w:p w:rsidR="006E1AC6" w:rsidRDefault="006E1AC6" w:rsidP="006E1AC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Bulk pricing strategies encourage larger orders, increasing total sales while maintaining </w:t>
      </w:r>
      <w:proofErr w:type="spellStart"/>
      <w:r>
        <w:rPr>
          <w:sz w:val="24"/>
          <w:szCs w:val="24"/>
          <w:lang w:val="en-US"/>
        </w:rPr>
        <w:t>proitibality</w:t>
      </w:r>
      <w:proofErr w:type="spellEnd"/>
    </w:p>
    <w:p w:rsidR="006E1AC6" w:rsidRDefault="006E1AC6" w:rsidP="006E1AC6">
      <w:pPr>
        <w:ind w:left="360"/>
        <w:rPr>
          <w:sz w:val="24"/>
          <w:szCs w:val="24"/>
          <w:lang w:val="en-US"/>
        </w:rPr>
      </w:pPr>
    </w:p>
    <w:p w:rsidR="006E1AC6" w:rsidRPr="006E1AC6" w:rsidRDefault="006E1AC6" w:rsidP="006E1AC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29250" cy="1752600"/>
            <wp:effectExtent l="0" t="0" r="0" b="0"/>
            <wp:docPr id="177339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90604" name="Picture 1773390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4" w:rsidRDefault="006E1AC6" w:rsidP="006E1AC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Identifying Vendors with low inventory Turnover</w:t>
      </w:r>
    </w:p>
    <w:p w:rsidR="006E1AC6" w:rsidRDefault="006E1AC6" w:rsidP="006E1AC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Slow-moving inventory increase storage costs, reduce cash flow efficiency, and affects overall profitability.</w:t>
      </w:r>
    </w:p>
    <w:p w:rsidR="00251309" w:rsidRDefault="006E1AC6" w:rsidP="006E1AC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Identifying vendors with low inventory turnover enables better stock management, minimizing financial strain.</w:t>
      </w:r>
    </w:p>
    <w:p w:rsidR="006E1AC6" w:rsidRDefault="006E1AC6" w:rsidP="006E1AC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51309">
        <w:rPr>
          <w:noProof/>
          <w:sz w:val="24"/>
          <w:szCs w:val="24"/>
          <w:lang w:val="en-US"/>
        </w:rPr>
        <w:drawing>
          <wp:inline distT="0" distB="0" distL="0" distR="0" wp14:anchorId="21787428" wp14:editId="250CED50">
            <wp:extent cx="5048250" cy="3803716"/>
            <wp:effectExtent l="0" t="0" r="0" b="6350"/>
            <wp:docPr id="43327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79430" name="Picture 4332794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19" cy="38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09" w:rsidRDefault="00251309" w:rsidP="006E1AC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05475" cy="3715193"/>
            <wp:effectExtent l="0" t="0" r="0" b="0"/>
            <wp:docPr id="1252316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16001" name="Picture 12523160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57" cy="37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6" w:rsidRDefault="006E1AC6" w:rsidP="006E1AC6">
      <w:pPr>
        <w:ind w:left="360"/>
        <w:rPr>
          <w:sz w:val="24"/>
          <w:szCs w:val="24"/>
          <w:lang w:val="en-US"/>
        </w:rPr>
      </w:pPr>
    </w:p>
    <w:p w:rsidR="00251309" w:rsidRDefault="00251309" w:rsidP="0025130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Profit Margin</w:t>
      </w:r>
      <w:r w:rsidR="005616C2">
        <w:rPr>
          <w:b/>
          <w:bCs/>
          <w:sz w:val="28"/>
          <w:szCs w:val="28"/>
          <w:lang w:val="en-US"/>
        </w:rPr>
        <w:t xml:space="preserve"> Comparison: High vs. Low-Performing Vendors</w:t>
      </w:r>
    </w:p>
    <w:p w:rsidR="005616C2" w:rsidRDefault="005616C2" w:rsidP="005616C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Top Vendors Profit Margin (95% CI): </w:t>
      </w:r>
      <w:r w:rsidRPr="005616C2">
        <w:rPr>
          <w:sz w:val="24"/>
          <w:szCs w:val="24"/>
        </w:rPr>
        <w:t>(1.29, 53.21) Mean: 27.25</w:t>
      </w:r>
    </w:p>
    <w:p w:rsidR="005616C2" w:rsidRDefault="005616C2" w:rsidP="005616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Low Vendors Profit Margin(95%CI): </w:t>
      </w:r>
      <w:r w:rsidRPr="005616C2">
        <w:rPr>
          <w:sz w:val="24"/>
          <w:szCs w:val="24"/>
        </w:rPr>
        <w:t>(14.64, 57.83) Mean: 3</w:t>
      </w:r>
      <w:r w:rsidR="00690AF4">
        <w:rPr>
          <w:noProof/>
          <w:sz w:val="24"/>
          <w:szCs w:val="24"/>
          <w:lang w:val="en-US"/>
        </w:rPr>
        <w:drawing>
          <wp:inline distT="0" distB="0" distL="0" distR="0" wp14:anchorId="365025D2" wp14:editId="3BC7A78E">
            <wp:extent cx="5238750" cy="3299030"/>
            <wp:effectExtent l="0" t="0" r="0" b="0"/>
            <wp:docPr id="656690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90048" name="Picture 6566900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204" cy="33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6C2">
        <w:rPr>
          <w:sz w:val="24"/>
          <w:szCs w:val="24"/>
        </w:rPr>
        <w:t>6.23</w:t>
      </w:r>
    </w:p>
    <w:p w:rsidR="005616C2" w:rsidRDefault="005616C2" w:rsidP="005616C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Low- performing vendors maintain higher margins but struggles with sales Volumes, indicating potential pricing inefficiencies or market reach issues.</w:t>
      </w:r>
      <w:r w:rsidRPr="005616C2">
        <w:rPr>
          <w:noProof/>
          <w:sz w:val="24"/>
          <w:szCs w:val="24"/>
          <w:lang w:val="en-US"/>
        </w:rPr>
        <w:t xml:space="preserve"> </w:t>
      </w:r>
    </w:p>
    <w:p w:rsidR="005616C2" w:rsidRDefault="00690AF4" w:rsidP="00690AF4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Statistical Validation of Profit Margin Differences</w:t>
      </w:r>
    </w:p>
    <w:p w:rsidR="00690AF4" w:rsidRDefault="00690AF4" w:rsidP="00690AF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Hypothesis Testing:</w:t>
      </w:r>
    </w:p>
    <w:p w:rsidR="00690AF4" w:rsidRDefault="00690AF4" w:rsidP="00690AF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0AF4">
        <w:rPr>
          <w:sz w:val="24"/>
          <w:szCs w:val="24"/>
          <w:lang w:val="en-US"/>
        </w:rPr>
        <w:t xml:space="preserve">H₀ (Null Hypothesis): There is a significant difference in the margin in the mean profit </w:t>
      </w:r>
      <w:r>
        <w:rPr>
          <w:sz w:val="24"/>
          <w:szCs w:val="24"/>
          <w:lang w:val="en-US"/>
        </w:rPr>
        <w:t xml:space="preserve">        </w:t>
      </w:r>
      <w:r w:rsidRPr="00690AF4">
        <w:rPr>
          <w:sz w:val="24"/>
          <w:szCs w:val="24"/>
          <w:lang w:val="en-US"/>
        </w:rPr>
        <w:t>margin of top performing and low performing vendors.</w:t>
      </w:r>
    </w:p>
    <w:p w:rsidR="00690AF4" w:rsidRDefault="00690AF4" w:rsidP="00690AF4">
      <w:pPr>
        <w:ind w:left="360"/>
        <w:rPr>
          <w:sz w:val="24"/>
          <w:szCs w:val="24"/>
          <w:lang w:val="en-US"/>
        </w:rPr>
      </w:pPr>
      <w:r w:rsidRPr="00690AF4">
        <w:rPr>
          <w:sz w:val="24"/>
          <w:szCs w:val="24"/>
          <w:lang w:val="en-US"/>
        </w:rPr>
        <w:t>H₁ (Alternative Hypothesis): The mean profit margin of top performing and low performing vendors are significantly different.</w:t>
      </w:r>
    </w:p>
    <w:p w:rsidR="00690AF4" w:rsidRPr="00690AF4" w:rsidRDefault="00690AF4" w:rsidP="00690AF4">
      <w:pPr>
        <w:ind w:left="360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 xml:space="preserve">Result: </w:t>
      </w:r>
      <w:r w:rsidRPr="00690AF4">
        <w:rPr>
          <w:sz w:val="24"/>
          <w:szCs w:val="24"/>
        </w:rPr>
        <w:t>T-statistic: -0.6508026183169885, P-value: 0.527838</w:t>
      </w:r>
    </w:p>
    <w:p w:rsidR="00690AF4" w:rsidRDefault="00690AF4" w:rsidP="00690AF4">
      <w:pPr>
        <w:ind w:left="360"/>
        <w:rPr>
          <w:b/>
          <w:bCs/>
          <w:sz w:val="28"/>
          <w:szCs w:val="28"/>
          <w:lang w:val="en-US"/>
        </w:rPr>
      </w:pPr>
      <w:r w:rsidRPr="00690AF4">
        <w:rPr>
          <w:sz w:val="24"/>
          <w:szCs w:val="24"/>
        </w:rPr>
        <w:t>Fail to reject the null hypothesis: No significant difference in the mean profit margin of top performing and low performing vendors</w:t>
      </w:r>
      <w:r w:rsidRPr="00690AF4">
        <w:rPr>
          <w:b/>
          <w:bCs/>
          <w:sz w:val="28"/>
          <w:szCs w:val="28"/>
        </w:rPr>
        <w:t>.</w:t>
      </w:r>
    </w:p>
    <w:p w:rsidR="00690AF4" w:rsidRDefault="00690AF4" w:rsidP="00690AF4">
      <w:pPr>
        <w:ind w:left="360"/>
        <w:rPr>
          <w:b/>
          <w:bCs/>
          <w:sz w:val="28"/>
          <w:szCs w:val="28"/>
          <w:lang w:val="en-US"/>
        </w:rPr>
      </w:pPr>
    </w:p>
    <w:p w:rsidR="00690AF4" w:rsidRDefault="00690AF4" w:rsidP="00690AF4">
      <w:pPr>
        <w:ind w:left="360"/>
        <w:rPr>
          <w:b/>
          <w:bCs/>
          <w:color w:val="EE0000"/>
          <w:sz w:val="28"/>
          <w:szCs w:val="28"/>
          <w:lang w:val="en-US"/>
        </w:rPr>
      </w:pPr>
      <w:r w:rsidRPr="00690AF4">
        <w:rPr>
          <w:b/>
          <w:bCs/>
          <w:color w:val="EE0000"/>
          <w:sz w:val="28"/>
          <w:szCs w:val="28"/>
          <w:lang w:val="en-US"/>
        </w:rPr>
        <w:t>Final Recom</w:t>
      </w:r>
      <w:r>
        <w:rPr>
          <w:b/>
          <w:bCs/>
          <w:color w:val="EE0000"/>
          <w:sz w:val="28"/>
          <w:szCs w:val="28"/>
          <w:lang w:val="en-US"/>
        </w:rPr>
        <w:t>m</w:t>
      </w:r>
      <w:r w:rsidRPr="00690AF4">
        <w:rPr>
          <w:b/>
          <w:bCs/>
          <w:color w:val="EE0000"/>
          <w:sz w:val="28"/>
          <w:szCs w:val="28"/>
          <w:lang w:val="en-US"/>
        </w:rPr>
        <w:t>endations</w:t>
      </w:r>
    </w:p>
    <w:p w:rsidR="00690AF4" w:rsidRDefault="00690AF4" w:rsidP="00690AF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Re-evaluate pricing for low-sales, high-margin brands to boost sales volume without sacrificing profitability.</w:t>
      </w:r>
    </w:p>
    <w:p w:rsidR="00690AF4" w:rsidRDefault="00690AF4" w:rsidP="00690AF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Diversity vendor partnerships to reduce dependency on a few suppliers and mitigate supply chain risks. </w:t>
      </w:r>
    </w:p>
    <w:p w:rsidR="00690AF4" w:rsidRDefault="00690AF4" w:rsidP="00690AF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Leverage bulk purchasing ad</w:t>
      </w:r>
      <w:r w:rsidR="008E235C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antages to maintain competitive pricing while optimizing</w:t>
      </w:r>
      <w:r w:rsidR="008E235C">
        <w:rPr>
          <w:sz w:val="24"/>
          <w:szCs w:val="24"/>
          <w:lang w:val="en-US"/>
        </w:rPr>
        <w:t xml:space="preserve"> inventory management.</w:t>
      </w:r>
    </w:p>
    <w:p w:rsidR="008E235C" w:rsidRPr="00690AF4" w:rsidRDefault="008E235C" w:rsidP="00690AF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Enhance marketing and distribution strategies for low-performing vendors to drive higher sales volumes without compromising profit margins.</w:t>
      </w:r>
    </w:p>
    <w:p w:rsidR="00690AF4" w:rsidRPr="00690AF4" w:rsidRDefault="00690AF4" w:rsidP="00690AF4">
      <w:pPr>
        <w:ind w:left="360"/>
        <w:rPr>
          <w:b/>
          <w:bCs/>
          <w:sz w:val="28"/>
          <w:szCs w:val="28"/>
          <w:lang w:val="en-US"/>
        </w:rPr>
      </w:pPr>
    </w:p>
    <w:sectPr w:rsidR="00690AF4" w:rsidRPr="0069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D28"/>
    <w:multiLevelType w:val="multilevel"/>
    <w:tmpl w:val="6BCE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1A9F"/>
    <w:multiLevelType w:val="hybridMultilevel"/>
    <w:tmpl w:val="A3E86ADC"/>
    <w:lvl w:ilvl="0" w:tplc="54D02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4223"/>
    <w:multiLevelType w:val="hybridMultilevel"/>
    <w:tmpl w:val="DF40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9A2"/>
    <w:multiLevelType w:val="hybridMultilevel"/>
    <w:tmpl w:val="8BF0D716"/>
    <w:lvl w:ilvl="0" w:tplc="990E23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40848"/>
    <w:multiLevelType w:val="multilevel"/>
    <w:tmpl w:val="D6E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77DEA"/>
    <w:multiLevelType w:val="multilevel"/>
    <w:tmpl w:val="930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132C"/>
    <w:multiLevelType w:val="hybridMultilevel"/>
    <w:tmpl w:val="17905C58"/>
    <w:lvl w:ilvl="0" w:tplc="AB0C7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38AD"/>
    <w:multiLevelType w:val="hybridMultilevel"/>
    <w:tmpl w:val="4F9223EE"/>
    <w:lvl w:ilvl="0" w:tplc="7B46B7DE">
      <w:start w:val="6"/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40702CD"/>
    <w:multiLevelType w:val="hybridMultilevel"/>
    <w:tmpl w:val="A6A20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75280"/>
    <w:multiLevelType w:val="hybridMultilevel"/>
    <w:tmpl w:val="21D67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A3722"/>
    <w:multiLevelType w:val="multilevel"/>
    <w:tmpl w:val="87A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719189">
    <w:abstractNumId w:val="10"/>
  </w:num>
  <w:num w:numId="2" w16cid:durableId="1205412091">
    <w:abstractNumId w:val="0"/>
  </w:num>
  <w:num w:numId="3" w16cid:durableId="1586112657">
    <w:abstractNumId w:val="2"/>
  </w:num>
  <w:num w:numId="4" w16cid:durableId="205071009">
    <w:abstractNumId w:val="1"/>
  </w:num>
  <w:num w:numId="5" w16cid:durableId="2019232711">
    <w:abstractNumId w:val="9"/>
  </w:num>
  <w:num w:numId="6" w16cid:durableId="901868553">
    <w:abstractNumId w:val="6"/>
  </w:num>
  <w:num w:numId="7" w16cid:durableId="976108664">
    <w:abstractNumId w:val="5"/>
  </w:num>
  <w:num w:numId="8" w16cid:durableId="1829856150">
    <w:abstractNumId w:val="4"/>
  </w:num>
  <w:num w:numId="9" w16cid:durableId="121583898">
    <w:abstractNumId w:val="8"/>
  </w:num>
  <w:num w:numId="10" w16cid:durableId="1642727269">
    <w:abstractNumId w:val="3"/>
  </w:num>
  <w:num w:numId="11" w16cid:durableId="632372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37"/>
    <w:rsid w:val="001C3046"/>
    <w:rsid w:val="00251309"/>
    <w:rsid w:val="0030549F"/>
    <w:rsid w:val="00454E94"/>
    <w:rsid w:val="005616C2"/>
    <w:rsid w:val="00604937"/>
    <w:rsid w:val="00690AF4"/>
    <w:rsid w:val="006E1AC6"/>
    <w:rsid w:val="00717929"/>
    <w:rsid w:val="00743C30"/>
    <w:rsid w:val="008E235C"/>
    <w:rsid w:val="00905814"/>
    <w:rsid w:val="00A2696E"/>
    <w:rsid w:val="00AA575B"/>
    <w:rsid w:val="00B32256"/>
    <w:rsid w:val="00BF5874"/>
    <w:rsid w:val="00C70BE3"/>
    <w:rsid w:val="00DA0525"/>
    <w:rsid w:val="00E50581"/>
    <w:rsid w:val="00F4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ED20"/>
  <w15:chartTrackingRefBased/>
  <w15:docId w15:val="{3EF76741-B0A7-4AF3-A9DB-50678C60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Saini</dc:creator>
  <cp:keywords/>
  <dc:description/>
  <cp:lastModifiedBy>Simran Saini</cp:lastModifiedBy>
  <cp:revision>6</cp:revision>
  <dcterms:created xsi:type="dcterms:W3CDTF">2025-09-20T05:21:00Z</dcterms:created>
  <dcterms:modified xsi:type="dcterms:W3CDTF">2025-09-21T06:01:00Z</dcterms:modified>
</cp:coreProperties>
</file>