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OWNML MACHINE LEARNING CANVAS</w:t>
      </w:r>
      <w:r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>
        <w:rPr>
          <w:rFonts w:ascii="IBM Plex Sans" w:cs="IBM Plex Sans" w:eastAsia="IBM Plex Sans" w:hAnsi="IBM Plex Sans"/>
          <w:rtl w:val="0"/>
        </w:rPr>
        <w:t xml:space="preserve">  </w:t>
      </w:r>
      <w:r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</w:t>
      </w:r>
      <w:r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Auditor — AASD 4016 Group 1              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</w:t>
      </w:r>
      <w:r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>    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Simrat, Rahul, Misra, Darun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August 14, 2026       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</w:t>
      </w:r>
      <w:r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1.</w:t>
      </w:r>
      <w:r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14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1h1dkvi2yfu9" w:id="1"/>
            <w:bookmarkEnd w:id="1"/>
            <w:r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ey8zlrtsndyk" w:id="2"/>
            <w:bookmarkEnd w:id="2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is the type of task?</w:t>
              <w:br w:type="textWrapping"/>
              <w:t xml:space="preserve">Which entity are predictions made on?</w:t>
              <w:br w:type="textWrapping"/>
              <w:t xml:space="preserve">What are the possible outcomes to predict?</w:t>
              <w:br w:type="textWrapping"/>
              <w:t xml:space="preserve">When are outcomes observed?</w:t>
              <w:br w:type="textWrapping"/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t xml:space="preserve">Retrieval + generation, not classification/regression</w:t>
              <w:br w:type="textWrapping"/>
              <w:t xml:space="preserve">Entity: each user query, not a fixed record</w:t>
              <w:br w:type="textWrapping"/>
              <w:t xml:space="preserve">Outcome: grounded answer citing real dataset figures, on-demand at query time</w:t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3"/>
            <w:bookmarkEnd w:id="3"/>
            <w:r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6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n3znq0gcdzbg" w:id="4"/>
            <w:bookmarkEnd w:id="4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are predictions turned into actionable recommendations or decisions for the end-user? (Mention parameters of the process / application for this.)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t xml:space="preserve">Agent decides which dataset(s) to fetch, and whether to pull full data or metadata only</w:t>
              <w:br w:type="textWrapping"/>
              <w:t xml:space="preserve">End-user acts by reading the analysis directly in the extension — no automated action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5"/>
            <w:bookmarkEnd w:id="5"/>
            <w:r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b="0" l="0" r="0" t="0"/>
                  <wp:wrapSquare wrapText="bothSides" distB="0" distT="0" distL="0" distR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dxjs2hhn8jih" w:id="6"/>
            <w:bookmarkEnd w:id="6"/>
            <w:r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Who is the end beneficiary, and what specific pain points are addressed?</w:t>
              <w:br w:type="textWrapping"/>
              <w:t xml:space="preserve">How will the ML solution integrate with their workflow, and through which user interfaces?</w:t>
            </w: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br w:type="textWrapping"/>
              <w:t xml:space="preserve">Beneficiaries: researchers, journalists, policy analysts, students, small businesses</w:t>
              <w:br w:type="textWrapping"/>
              <w:t xml:space="preserve">Removes need for manual dataset search or raw CSV/JSON literacy</w:t>
              <w:br w:type="textWrapping"/>
              <w:t xml:space="preserve">Delivered inline through a Chrome extension popup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7"/>
            <w:bookmarkEnd w:id="7"/>
            <w:r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bycxw25eie8y" w:id="8"/>
            <w:bookmarkEnd w:id="8"/>
            <w:r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How is the initial set of entities and outcomes sourced (e.g., database extracts, API pulls, manual labeling)?</w:t>
              <w:br w:type="textWrapping"/>
              <w:t xml:space="preserve">What strategies are in place to update data continuously while controlling cost and maintaining freshness?</w:t>
            </w: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br w:type="textWrapping"/>
              <w:t xml:space="preserve">Live API pulls from Canada's CKAN catalogue at query time — no static training set</w:t>
              <w:br w:type="textWrapping"/>
              <w:t xml:space="preserve">Always fresh by design; cost controlled by limiting datasets/rows fetched per query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9"/>
            <w:bookmarkEnd w:id="9"/>
            <w:r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3ktfmkup4get" w:id="10"/>
            <w:bookmarkEnd w:id="10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Where can we get data on entities and observed outcomes? (Mention internal and external database tables or API methods.)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t xml:space="preserve">open.canada.ca CKAN API (package_search / package_show)</w:t>
              <w:br w:type="textWrapping"/>
              <w:t xml:space="preserve">40,000+ public government datasets</w:t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1"/>
            <w:bookmarkEnd w:id="11"/>
            <w:r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12"/>
            <w:bookmarkEnd w:id="12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are the cost/gain values for (in)correct decisions?</w:t>
              <w:br w:type="textWrapping"/>
              <w:t xml:space="preserve">Which data is used to simulate pre-deployment impact?</w:t>
              <w:br w:type="textWrapping"/>
              <w:t xml:space="preserve">What are the criteria for deployment?</w:t>
              <w:br w:type="textWrapping"/>
              <w:t xml:space="preserve">Are there fairness constraints?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t xml:space="preserve">Cost of a wrong dataset match: a misleading answer to the user</w:t>
              <w:br w:type="textWrapping"/>
              <w:t xml:space="preserve">Simulated against a curated set of sample test queries</w:t>
              <w:br w:type="textWrapping"/>
              <w:t xml:space="preserve">Deployment bar: grounded, cited answer for common queries; no fairness constraints (public aggregate data only)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bookmarkStart w:colFirst="0" w:colLast="0" w:name="_5s79pjkaaapc" w:id="13"/>
            <w:bookmarkEnd w:id="13"/>
            <w:r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>
              <w:rPr>
                <w:rtl w:val="0"/>
              </w:rPr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rxt7dvm8btd" w:id="14"/>
            <w:bookmarkEnd w:id="14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Are predictions made in batch or in real time?</w:t>
              <w:br w:type="textWrapping"/>
              <w:t xml:space="preserve">How frequently?</w:t>
              <w:br w:type="textWrapping"/>
              <w:t xml:space="preserve">How much time is available for this (including featurization and decisions)?</w:t>
              <w:br w:type="textWrapping"/>
              <w:t xml:space="preserve">Which computational resources are used?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8"/>
                <w:szCs w:val="28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t xml:space="preserve">Real-time, on-demand per query — not batch</w:t>
              <w:br w:type="textWrapping"/>
              <w:t xml:space="preserve">~1–2s (metadata-only) vs ~3–5s (agent + real data)</w:t>
              <w:br w:type="textWrapping"/>
              <w:t xml:space="preserve">Flask backend calling external APIs (Canada Open Data + DeepSeek); no local GPU needed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r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81vf84j4p1ue" w:id="15"/>
            <w:bookmarkEnd w:id="15"/>
            <w:r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uqcgz6o8ws7h" w:id="16"/>
            <w:bookmarkEnd w:id="16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many models are needed in production?</w:t>
              <w:br w:type="textWrapping"/>
              <w:t xml:space="preserve">When should they be updated?</w:t>
              <w:br w:type="textWrapping"/>
              <w:t xml:space="preserve">How much time is available for this (including featurization and analysis)?</w:t>
              <w:br w:type="textWrapping"/>
              <w:t xml:space="preserve">Which computation resources are used?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t xml:space="preserve">No custom model trained — one pretrained LLM in production (DeepSeek, via OpenRouter)</w:t>
              <w:br w:type="textWrapping"/>
              <w:t xml:space="preserve">Directed via prompt engineering + agentic retrieval, not fine-tuning</w:t>
              <w:br w:type="textWrapping"/>
              <w:t xml:space="preserve">No training compute required, only API calls</w:t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17"/>
            <w:bookmarkEnd w:id="17"/>
            <w:r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pStyle w:val="Heading3"/>
              <w:spacing w:after="200" w:lineRule="auto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7efx3yacbscb" w:id="18"/>
            <w:bookmarkEnd w:id="18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representations are used for entities at prediction time?</w:t>
              <w:br w:type="textWrapping"/>
              <w:t xml:space="preserve">What aggregations or transformations are applied to raw data sources?</w:t>
            </w:r>
            <w:r>
              <w:rPr>
                <w:rFonts w:ascii="IBM Plex Sans" w:cs="IBM Plex Sans" w:eastAsia="IBM Plex Sans" w:hAnsi="IBM Plex Sans"/>
                <w:color w:val="1A1A1A"/>
                <w:sz w:val="17"/>
                <w:szCs w:val="17"/>
                <w:rtl w:val="0"/>
              </w:rPr>
              <w:br w:type="textWrapping"/>
              <w:t xml:space="preserve">Inputs: user's query text, dataset titles/descriptions, sampled real dataset rows (CSV/JSON)</w:t>
              <w:br w:type="textWrapping"/>
              <w:t xml:space="preserve">Query keywords extracted to drive dataset search — no numeric feature engineering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jc w:val="left"/>
              <w:rPr>
                <w:rFonts w:ascii="IBM Plex Sans" w:cs="IBM Plex Sans" w:eastAsia="IBM Plex Sans" w:hAnsi="IBM Plex Sans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99rbzexhxp86" w:id="19"/>
            <w:bookmarkEnd w:id="19"/>
            <w:r>
              <w:rPr>
                <w:rFonts w:ascii="IBM Plex Sans" w:cs="IBM Plex Sans" w:eastAsia="IBM Plex Sans" w:hAnsi="IBM Plex Sans"/>
                <w:rtl w:val="0"/>
              </w:rPr>
              <w:t xml:space="preserve">MONITORING</w:t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yrsc8mhn4oky" w:id="20"/>
            <w:bookmarkEnd w:id="20"/>
            <w:r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Which metrics and KPIs are used to track the ML solution’s impact once deployed, both for end-users and for the business?</w:t>
              <w:br w:type="textWrapping"/>
              <w:t xml:space="preserve">How often should they be reviewed?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>
              <w:rPr>
                <w:rFonts w:ascii="IBM Plex Sans" w:cs="IBM Plex Sans" w:eastAsia="IBM Plex Sans" w:hAnsi="IBM Plex Sans"/>
                <w:color w:val="1A1A1A"/>
                <w:sz w:val="15"/>
                <w:szCs w:val="15"/>
                <w:rtl w:val="0"/>
              </w:rPr>
              <w:t xml:space="preserve">Logged to DynamoDB per analysis (query, datasets, response, timestamp)</w:t>
              <w:br w:type="textWrapping"/>
              <w:t xml:space="preserve">Reviewed ad hoc today; a structured review cadence is planned next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drawing>
                <wp:inline distB="114300" distT="114300" distL="114300" distR="114300">
                  <wp:extent cx="190500" cy="1905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drawing>
                <wp:inline distB="114300" distT="114300" distL="114300" distR="114300">
                  <wp:extent cx="190500" cy="190500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drawing>
                <wp:inline distB="114300" distT="114300" distL="114300" distR="114300">
                  <wp:extent cx="190500" cy="1905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drawing>
                <wp:inline distB="114300" distT="114300" distL="114300" distR="114300">
                  <wp:extent cx="190500" cy="1905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r:id="rId21">
              <w:r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r:id="rId22">
              <w:r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sz w:val="22"/>
                <w:szCs w:val="22"/>
              </w:rPr>
            </w:pPr>
            <w:r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r:id="rId23">
              <w:r>
                <w:rPr>
                  <w:rFonts w:ascii="IBM Plex Sans" w:cs="IBM Plex Sans" w:eastAsia="IBM Plex Sans" w:hAnsi="IBM Plex Sans"/>
                  <w:b w:val="1"/>
                  <w:bCs w:val="1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pageBreakBefore w:val="0"/>
        <w:rPr>
          <w:rFonts w:ascii="IBM Plex Sans" w:cs="IBM Plex Sans" w:eastAsia="IBM Plex Sans" w:hAnsi="IBM Plex Sans"/>
        </w:rPr>
      </w:pPr>
      <w:bookmarkStart w:colFirst="0" w:colLast="0" w:name="_c5vfevmt07y6" w:id="21"/>
      <w:bookmarkEnd w:id="21"/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18"/>
          <w:szCs w:val="18"/>
        </w:rPr>
      </w:pPr>
      <w:r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From framing to funding Machine Learning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18"/>
          <w:szCs w:val="18"/>
        </w:rPr>
      </w:pPr>
      <w:r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870"/>
        <w:gridCol w:w="6900"/>
        <w:tblGridChange w:id="0">
          <w:tblGrid>
            <w:gridCol w:w="6630"/>
            <w:gridCol w:w="87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The </w:t>
            </w:r>
            <w: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Machine Learning Canvas</w:t>
            </w: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is typically the first step. Teams use it to collaboratively frame a machine learning use case, surface assumptions early, and align on what a first experiment should actually prove — before models are built and resources are committed.</w:t>
            </w:r>
          </w:p>
          <w:p w:rsidR="00000000" w:rsidDel="00000000" w:rsidP="00000000" w:rsidRDefault="00000000" w:rsidRPr="00000000" w14:paraId="0000002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In practice, filling the Canvas often raises broader questions, such as: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Which ML use cases should we prioritize across teams?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How do we compare value, complexity, and confidence?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How do we decide whether a pilot is worth scaling?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How do we discuss ML progress in business terms, not just technical metrics?</w:t>
            </w:r>
          </w:p>
          <w:p w:rsidR="00000000" w:rsidDel="00000000" w:rsidP="00000000" w:rsidRDefault="00000000" w:rsidRPr="00000000" w14:paraId="00000032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These questions are less about modeling — and more about </w:t>
            </w:r>
            <w: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discipline</w:t>
            </w: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Beyond the Canvas</w:t>
            </w:r>
          </w:p>
          <w:p w:rsidR="00000000" w:rsidDel="00000000" w:rsidP="00000000" w:rsidRDefault="00000000" w:rsidRPr="00000000" w14:paraId="0000003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OWNML builds on the Machine Learning Canvas to help organizations bring discipline to enterprise machine learning.</w:t>
            </w:r>
          </w:p>
          <w:p w:rsidR="00000000" w:rsidDel="00000000" w:rsidP="00000000" w:rsidRDefault="00000000" w:rsidRPr="00000000" w14:paraId="0000003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It extends the Canvas with shared artifacts and practices that support: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portfolio-level prioritization of ML use cases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explicit assumptions and impact simulation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scorecards and one-pagers leadership understands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consistent decision-making across teams</w:t>
            </w:r>
          </w:p>
          <w:p w:rsidR="00000000" w:rsidDel="00000000" w:rsidP="00000000" w:rsidRDefault="00000000" w:rsidRPr="00000000" w14:paraId="0000003F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The goal is not to accelerate experimentation at all costs, but to help teams </w:t>
            </w:r>
            <w: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decide what to build, fund, and scale — with confidence</w:t>
            </w: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How teams typically use the Canvas</w:t>
            </w:r>
          </w:p>
          <w:p w:rsidR="00000000" w:rsidDel="00000000" w:rsidP="00000000" w:rsidRDefault="00000000" w:rsidRPr="00000000" w14:paraId="00000043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Teams often use the Canvas in a short working session (60–120 minutes) to: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frame a concrete ML use case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clarify who would act on the prediction and why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identify assumptions that must hold for value to exist</w:t>
            </w:r>
          </w:p>
          <w:p w:rsidR="00000000" w:rsidDel="00000000" w:rsidP="00000000" w:rsidRDefault="00000000" w:rsidRPr="00000000" w14:paraId="0000004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This shared framing is what makes subsequent technical work meaningful — and defensible.</w:t>
            </w:r>
          </w:p>
          <w:p w:rsidR="00000000" w:rsidDel="00000000" w:rsidP="00000000" w:rsidRDefault="00000000" w:rsidRPr="00000000" w14:paraId="0000004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Learn more</w:t>
            </w:r>
          </w:p>
          <w:p w:rsidR="00000000" w:rsidDel="00000000" w:rsidP="00000000" w:rsidRDefault="00000000" w:rsidRPr="00000000" w14:paraId="0000004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this way of working resonates, you can learn more about the broader OWNML approach at:</w:t>
            </w:r>
          </w:p>
          <w:p w:rsidR="00000000" w:rsidDel="00000000" w:rsidP="00000000" w:rsidRDefault="00000000" w:rsidRPr="00000000" w14:paraId="0000004F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hyperlink r:id="rId24">
              <w:r>
                <w:rPr>
                  <w:rFonts w:ascii="IBM Plex Sans" w:cs="IBM Plex Sans" w:eastAsia="IBM Plex Sans" w:hAnsi="IBM Plex Sans"/>
                  <w:sz w:val="18"/>
                  <w:szCs w:val="18"/>
                  <w:u w:val="single"/>
                  <w:rtl w:val="0"/>
                </w:rPr>
                <w:t xml:space="preserve">https://www.ownml.co/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Referencing the Machine Learning Canvas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you need to reference the Canvas formally (e.g. in documentation or publications), you may use: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@misc{mlc,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title  = "Machine Learning Canvas",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author = "Louis Dorard (OWNML)",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url    = "https://www.ownml.co/",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year   = "2015"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IBM Plex Sans" w:cs="IBM Plex Sans" w:eastAsia="IBM Plex Sans" w:hAnsi="IBM Plex Sans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left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png"/><Relationship Id="rId22" Type="http://schemas.openxmlformats.org/officeDocument/2006/relationships/hyperlink" Target="https://www.ownml.co/" TargetMode="External"/><Relationship Id="rId10" Type="http://schemas.openxmlformats.org/officeDocument/2006/relationships/image" Target="media/image10.png"/><Relationship Id="rId21" Type="http://schemas.openxmlformats.org/officeDocument/2006/relationships/hyperlink" Target="https://creativecommons.org/licenses/by-sa/4.0/" TargetMode="External"/><Relationship Id="rId13" Type="http://schemas.openxmlformats.org/officeDocument/2006/relationships/image" Target="media/image15.png"/><Relationship Id="rId24" Type="http://schemas.openxmlformats.org/officeDocument/2006/relationships/hyperlink" Target="https://www.ownml.co/" TargetMode="External"/><Relationship Id="rId12" Type="http://schemas.openxmlformats.org/officeDocument/2006/relationships/image" Target="media/image14.png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6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Hin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Hin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