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</w:pPr>
      <w:r>
        <w:t>Comprehensive Market Analysis Report</w:t>
      </w:r>
    </w:p>
    <w:p>
      <w:pPr>
        <w:pStyle w:val="CustomHeading1"/>
        <w:jc w:val="center"/>
      </w:pPr>
      <w:r>
        <w:t>Relative Strength &amp; Performance Analysis</w:t>
      </w:r>
    </w:p>
    <w:p>
      <w:pPr>
        <w:pStyle w:val="CustomBody"/>
        <w:jc w:val="center"/>
      </w:pPr>
      <w:r>
        <w:t>Analysis Date: September 5, 2025</w:t>
      </w:r>
    </w:p>
    <w:p>
      <w:pPr>
        <w:pStyle w:val="CustomBody"/>
        <w:jc w:val="center"/>
      </w:pPr>
      <w:r>
        <w:t>Report Generated: September 20, 2025</w:t>
      </w:r>
    </w:p>
    <w:p>
      <w:r>
        <w:br w:type="page"/>
      </w:r>
    </w:p>
    <w:p>
      <w:pPr>
        <w:pStyle w:val="CustomHeading1"/>
      </w:pPr>
      <w:r>
        <w:t>Executive Summary</w:t>
      </w:r>
    </w:p>
    <w:p>
      <w:pPr>
        <w:pStyle w:val="CustomBody"/>
      </w:pPr>
      <w:r>
        <w:t>The September 2025 market environment is characterized by significant sector rotation dynamics, with traditional mega-cap technology leadership giving way to broader market participation. This analysis examines relative strength patterns across 117 stocks, 9 sectors, and 10 industries using IBD-style methodology across multiple timeframes.</w:t>
      </w:r>
    </w:p>
    <w:p>
      <w:pPr>
        <w:pStyle w:val="CustomBody"/>
      </w:pPr>
      <w:r>
        <w:t>Key market themes driving current rotation include:</w:t>
      </w:r>
    </w:p>
    <w:p>
      <w:pPr>
        <w:pStyle w:val="ListBullet"/>
      </w:pPr>
      <w:r>
        <w:t>Technology sector leadership continuing but with increased volatility (+2.76% recent performance)</w:t>
      </w:r>
    </w:p>
    <w:p>
      <w:pPr>
        <w:pStyle w:val="ListBullet"/>
      </w:pPr>
      <w:r>
        <w:t>Healthcare emerging from significant undervaluation, representing compelling opportunities</w:t>
      </w:r>
    </w:p>
    <w:p>
      <w:pPr>
        <w:pStyle w:val="ListBullet"/>
      </w:pPr>
      <w:r>
        <w:t>Consumer sectors showing divergent patterns between discretionary and defensive categories</w:t>
      </w:r>
    </w:p>
    <w:p>
      <w:pPr>
        <w:pStyle w:val="ListBullet"/>
      </w:pPr>
      <w:r>
        <w:t>Shift from concentrated 'Magnificent 7' dominance to broader market participation</w:t>
      </w:r>
    </w:p>
    <w:p>
      <w:pPr>
        <w:pStyle w:val="CustomBody"/>
      </w:pPr>
      <w:r>
        <w:t>Our relative strength analysis reveals critical insights for navigating this rotation environment, identifying leaders and laggards across time horizons from 1-day to 252-day periods. Machine learning clustering analysis further uncovers hidden patterns in performance correlations.</w:t>
      </w:r>
    </w:p>
    <w:p>
      <w:r>
        <w:br w:type="page"/>
      </w:r>
    </w:p>
    <w:p>
      <w:pPr>
        <w:pStyle w:val="CustomHeading1"/>
      </w:pPr>
      <w:r>
        <w:t>Key Findings</w:t>
      </w:r>
    </w:p>
    <w:p>
      <w:pPr>
        <w:pStyle w:val="CustomHeading2"/>
      </w:pPr>
      <w:r>
        <w:t>📊 Market Breadth Analysis:</w:t>
      </w:r>
    </w:p>
    <w:p>
      <w:pPr>
        <w:pStyle w:val="ListBullet"/>
      </w:pPr>
      <w:r>
        <w:t>40 stocks (34.2%) outperforming QQQ</w:t>
      </w:r>
    </w:p>
    <w:p>
      <w:pPr>
        <w:pStyle w:val="ListBullet"/>
      </w:pPr>
      <w:r>
        <w:t>76 stocks (65.0%) underperforming QQQ</w:t>
      </w:r>
    </w:p>
    <w:p>
      <w:pPr>
        <w:pStyle w:val="ListBullet"/>
      </w:pPr>
      <w:r>
        <w:t>Overall market relative strength: 0.980</w:t>
      </w:r>
    </w:p>
    <w:p/>
    <w:p>
      <w:pPr>
        <w:pStyle w:val="CustomHeading2"/>
      </w:pPr>
      <w:r>
        <w:t>🏆 Top Performer:</w:t>
      </w:r>
    </w:p>
    <w:p>
      <w:pPr>
        <w:pStyle w:val="ListBullet"/>
      </w:pPr>
      <w:r>
        <w:t>APP: 1.466 average RS across timeframes</w:t>
      </w:r>
    </w:p>
    <w:p>
      <w:pPr>
        <w:pStyle w:val="ListBullet"/>
      </w:pPr>
      <w:r>
        <w:t>Sector: Technology services</w:t>
      </w:r>
    </w:p>
    <w:p>
      <w:pPr>
        <w:pStyle w:val="ListBullet"/>
      </w:pPr>
      <w:r>
        <w:t>Industry: Packaged software</w:t>
      </w:r>
    </w:p>
    <w:p/>
    <w:p>
      <w:pPr>
        <w:pStyle w:val="CustomHeading2"/>
      </w:pPr>
      <w:r>
        <w:t>📈 Sector Insights:</w:t>
      </w:r>
    </w:p>
    <w:p>
      <w:pPr>
        <w:pStyle w:val="ListBullet"/>
      </w:pPr>
      <w:r>
        <w:t>Best performing sector: Technology services (RS: 1.082)</w:t>
      </w:r>
    </w:p>
    <w:p>
      <w:pPr>
        <w:pStyle w:val="ListBullet"/>
      </w:pPr>
      <w:r>
        <w:t>Worst performing sector: Consumer non-durables (RS: 0.807)</w:t>
      </w:r>
    </w:p>
    <w:p>
      <w:r>
        <w:br w:type="page"/>
      </w:r>
    </w:p>
    <w:p>
      <w:pPr>
        <w:pStyle w:val="CustomHeading1"/>
      </w:pPr>
      <w:r>
        <w:t>Sector Performance Analysis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Sector</w:t>
            </w:r>
          </w:p>
        </w:tc>
        <w:tc>
          <w:tcPr>
            <w:tcW w:type="dxa" w:w="2160"/>
          </w:tcPr>
          <w:p>
            <w:r>
              <w:t>Quarterly RS</w:t>
            </w:r>
          </w:p>
        </w:tc>
        <w:tc>
          <w:tcPr>
            <w:tcW w:type="dxa" w:w="2160"/>
          </w:tcPr>
          <w:p>
            <w:r>
              <w:t>Yearly RS</w:t>
            </w:r>
          </w:p>
        </w:tc>
        <w:tc>
          <w:tcPr>
            <w:tcW w:type="dxa" w:w="2160"/>
          </w:tcPr>
          <w:p>
            <w:r>
              <w:t>Performance</w:t>
            </w:r>
          </w:p>
        </w:tc>
      </w:tr>
      <w:tr>
        <w:tc>
          <w:tcPr>
            <w:tcW w:type="dxa" w:w="2160"/>
          </w:tcPr>
          <w:p>
            <w:r>
              <w:t>Consumer non-durables</w:t>
            </w:r>
          </w:p>
        </w:tc>
        <w:tc>
          <w:tcPr>
            <w:tcW w:type="dxa" w:w="2160"/>
          </w:tcPr>
          <w:p>
            <w:r>
              <w:t>0.807</w:t>
            </w:r>
          </w:p>
        </w:tc>
        <w:tc>
          <w:tcPr>
            <w:tcW w:type="dxa" w:w="2160"/>
          </w:tcPr>
          <w:p>
            <w:r>
              <w:t>0.693</w:t>
            </w:r>
          </w:p>
        </w:tc>
        <w:tc>
          <w:tcPr>
            <w:tcW w:type="dxa" w:w="2160"/>
          </w:tcPr>
          <w:p>
            <w:r>
              <w:t>Underperform</w:t>
            </w:r>
          </w:p>
        </w:tc>
      </w:tr>
      <w:tr>
        <w:tc>
          <w:tcPr>
            <w:tcW w:type="dxa" w:w="2160"/>
          </w:tcPr>
          <w:p>
            <w:r>
              <w:t>Consumer services</w:t>
            </w:r>
          </w:p>
        </w:tc>
        <w:tc>
          <w:tcPr>
            <w:tcW w:type="dxa" w:w="2160"/>
          </w:tcPr>
          <w:p>
            <w:r>
              <w:t>0.963</w:t>
            </w:r>
          </w:p>
        </w:tc>
        <w:tc>
          <w:tcPr>
            <w:tcW w:type="dxa" w:w="2160"/>
          </w:tcPr>
          <w:p>
            <w:r>
              <w:t>1.126</w:t>
            </w:r>
          </w:p>
        </w:tc>
        <w:tc>
          <w:tcPr>
            <w:tcW w:type="dxa" w:w="2160"/>
          </w:tcPr>
          <w:p>
            <w:r>
              <w:t>Underperform</w:t>
            </w:r>
          </w:p>
        </w:tc>
      </w:tr>
      <w:tr>
        <w:tc>
          <w:tcPr>
            <w:tcW w:type="dxa" w:w="2160"/>
          </w:tcPr>
          <w:p>
            <w:r>
              <w:t>Electronic technology</w:t>
            </w:r>
          </w:p>
        </w:tc>
        <w:tc>
          <w:tcPr>
            <w:tcW w:type="dxa" w:w="2160"/>
          </w:tcPr>
          <w:p>
            <w:r>
              <w:t>1.044</w:t>
            </w:r>
          </w:p>
        </w:tc>
        <w:tc>
          <w:tcPr>
            <w:tcW w:type="dxa" w:w="2160"/>
          </w:tcPr>
          <w:p>
            <w:r>
              <w:t>1.044</w:t>
            </w:r>
          </w:p>
        </w:tc>
        <w:tc>
          <w:tcPr>
            <w:tcW w:type="dxa" w:w="2160"/>
          </w:tcPr>
          <w:p>
            <w:r>
              <w:t>Outperform</w:t>
            </w:r>
          </w:p>
        </w:tc>
      </w:tr>
      <w:tr>
        <w:tc>
          <w:tcPr>
            <w:tcW w:type="dxa" w:w="2160"/>
          </w:tcPr>
          <w:p>
            <w:r>
              <w:t>Health technology</w:t>
            </w:r>
          </w:p>
        </w:tc>
        <w:tc>
          <w:tcPr>
            <w:tcW w:type="dxa" w:w="2160"/>
          </w:tcPr>
          <w:p>
            <w:r>
              <w:t>0.810</w:t>
            </w:r>
          </w:p>
        </w:tc>
        <w:tc>
          <w:tcPr>
            <w:tcW w:type="dxa" w:w="2160"/>
          </w:tcPr>
          <w:p>
            <w:r>
              <w:t>0.694</w:t>
            </w:r>
          </w:p>
        </w:tc>
        <w:tc>
          <w:tcPr>
            <w:tcW w:type="dxa" w:w="2160"/>
          </w:tcPr>
          <w:p>
            <w:r>
              <w:t>Underperform</w:t>
            </w:r>
          </w:p>
        </w:tc>
      </w:tr>
      <w:tr>
        <w:tc>
          <w:tcPr>
            <w:tcW w:type="dxa" w:w="2160"/>
          </w:tcPr>
          <w:p>
            <w:r>
              <w:t>Producer manufacturing</w:t>
            </w:r>
          </w:p>
        </w:tc>
        <w:tc>
          <w:tcPr>
            <w:tcW w:type="dxa" w:w="2160"/>
          </w:tcPr>
          <w:p>
            <w:r>
              <w:t>0.935</w:t>
            </w:r>
          </w:p>
        </w:tc>
        <w:tc>
          <w:tcPr>
            <w:tcW w:type="dxa" w:w="2160"/>
          </w:tcPr>
          <w:p>
            <w:r>
              <w:t>0.827</w:t>
            </w:r>
          </w:p>
        </w:tc>
        <w:tc>
          <w:tcPr>
            <w:tcW w:type="dxa" w:w="2160"/>
          </w:tcPr>
          <w:p>
            <w:r>
              <w:t>Underperform</w:t>
            </w:r>
          </w:p>
        </w:tc>
      </w:tr>
      <w:tr>
        <w:tc>
          <w:tcPr>
            <w:tcW w:type="dxa" w:w="2160"/>
          </w:tcPr>
          <w:p>
            <w:r>
              <w:t>Retail trade</w:t>
            </w:r>
          </w:p>
        </w:tc>
        <w:tc>
          <w:tcPr>
            <w:tcW w:type="dxa" w:w="2160"/>
          </w:tcPr>
          <w:p>
            <w:r>
              <w:t>0.923</w:t>
            </w:r>
          </w:p>
        </w:tc>
        <w:tc>
          <w:tcPr>
            <w:tcW w:type="dxa" w:w="2160"/>
          </w:tcPr>
          <w:p>
            <w:r>
              <w:t>0.971</w:t>
            </w:r>
          </w:p>
        </w:tc>
        <w:tc>
          <w:tcPr>
            <w:tcW w:type="dxa" w:w="2160"/>
          </w:tcPr>
          <w:p>
            <w:r>
              <w:t>Underperform</w:t>
            </w:r>
          </w:p>
        </w:tc>
      </w:tr>
      <w:tr>
        <w:tc>
          <w:tcPr>
            <w:tcW w:type="dxa" w:w="2160"/>
          </w:tcPr>
          <w:p>
            <w:r>
              <w:t>Technology services</w:t>
            </w:r>
          </w:p>
        </w:tc>
        <w:tc>
          <w:tcPr>
            <w:tcW w:type="dxa" w:w="2160"/>
          </w:tcPr>
          <w:p>
            <w:r>
              <w:t>1.082</w:t>
            </w:r>
          </w:p>
        </w:tc>
        <w:tc>
          <w:tcPr>
            <w:tcW w:type="dxa" w:w="2160"/>
          </w:tcPr>
          <w:p>
            <w:r>
              <w:t>1.110</w:t>
            </w:r>
          </w:p>
        </w:tc>
        <w:tc>
          <w:tcPr>
            <w:tcW w:type="dxa" w:w="2160"/>
          </w:tcPr>
          <w:p>
            <w:r>
              <w:t>Outperform</w:t>
            </w:r>
          </w:p>
        </w:tc>
      </w:tr>
      <w:tr>
        <w:tc>
          <w:tcPr>
            <w:tcW w:type="dxa" w:w="2160"/>
          </w:tcPr>
          <w:p>
            <w:r>
              <w:t>Transportation</w:t>
            </w:r>
          </w:p>
        </w:tc>
        <w:tc>
          <w:tcPr>
            <w:tcW w:type="dxa" w:w="2160"/>
          </w:tcPr>
          <w:p>
            <w:r>
              <w:t>1.027</w:t>
            </w:r>
          </w:p>
        </w:tc>
        <w:tc>
          <w:tcPr>
            <w:tcW w:type="dxa" w:w="2160"/>
          </w:tcPr>
          <w:p>
            <w:r>
              <w:t>1.219</w:t>
            </w:r>
          </w:p>
        </w:tc>
        <w:tc>
          <w:tcPr>
            <w:tcW w:type="dxa" w:w="2160"/>
          </w:tcPr>
          <w:p>
            <w:r>
              <w:t>Outperform</w:t>
            </w:r>
          </w:p>
        </w:tc>
      </w:tr>
      <w:tr>
        <w:tc>
          <w:tcPr>
            <w:tcW w:type="dxa" w:w="2160"/>
          </w:tcPr>
          <w:p>
            <w:r>
              <w:t>Utilities</w:t>
            </w:r>
          </w:p>
        </w:tc>
        <w:tc>
          <w:tcPr>
            <w:tcW w:type="dxa" w:w="2160"/>
          </w:tcPr>
          <w:p>
            <w:r>
              <w:t>0.975</w:t>
            </w:r>
          </w:p>
        </w:tc>
        <w:tc>
          <w:tcPr>
            <w:tcW w:type="dxa" w:w="2160"/>
          </w:tcPr>
          <w:p>
            <w:r>
              <w:t>1.194</w:t>
            </w:r>
          </w:p>
        </w:tc>
        <w:tc>
          <w:tcPr>
            <w:tcW w:type="dxa" w:w="2160"/>
          </w:tcPr>
          <w:p>
            <w:r>
              <w:t>Underperform</w:t>
            </w:r>
          </w:p>
        </w:tc>
      </w:tr>
    </w:tbl>
    <w:p/>
    <w:p>
      <w:pPr>
        <w:pStyle w:val="CustomHeading2"/>
      </w:pPr>
      <w:r>
        <w:t>Sector Analysis Interpretation:</w:t>
      </w:r>
    </w:p>
    <w:p>
      <w:pPr>
        <w:pStyle w:val="ListBullet"/>
      </w:pPr>
      <w:r>
        <w:t>Sectors with RS &gt; 1.0 are outperforming the QQQ benchmark</w:t>
      </w:r>
    </w:p>
    <w:p>
      <w:pPr>
        <w:pStyle w:val="ListBullet"/>
      </w:pPr>
      <w:r>
        <w:t>Quarterly RS provides insight into recent momentum</w:t>
      </w:r>
    </w:p>
    <w:p>
      <w:pPr>
        <w:pStyle w:val="ListBullet"/>
      </w:pPr>
      <w:r>
        <w:t>Yearly RS shows longer-term trend strength</w:t>
      </w:r>
    </w:p>
    <w:p>
      <w:pPr>
        <w:pStyle w:val="ListBullet"/>
      </w:pPr>
      <w:r>
        <w:t>Consistent outperformance across timeframes indicates strong sector leadership</w:t>
      </w:r>
    </w:p>
    <w:p>
      <w:r>
        <w:br w:type="page"/>
      </w:r>
    </w:p>
    <w:p>
      <w:pPr>
        <w:pStyle w:val="CustomHeading1"/>
      </w:pPr>
      <w:r>
        <w:t>Top Performing Stocks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Rank</w:t>
            </w:r>
          </w:p>
        </w:tc>
        <w:tc>
          <w:tcPr>
            <w:tcW w:type="dxa" w:w="1728"/>
          </w:tcPr>
          <w:p>
            <w:r>
              <w:t>Ticker</w:t>
            </w:r>
          </w:p>
        </w:tc>
        <w:tc>
          <w:tcPr>
            <w:tcW w:type="dxa" w:w="1728"/>
          </w:tcPr>
          <w:p>
            <w:r>
              <w:t>Sector</w:t>
            </w:r>
          </w:p>
        </w:tc>
        <w:tc>
          <w:tcPr>
            <w:tcW w:type="dxa" w:w="1728"/>
          </w:tcPr>
          <w:p>
            <w:r>
              <w:t>Industry</w:t>
            </w:r>
          </w:p>
        </w:tc>
        <w:tc>
          <w:tcPr>
            <w:tcW w:type="dxa" w:w="1728"/>
          </w:tcPr>
          <w:p>
            <w:r>
              <w:t>Avg RS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APP</w:t>
            </w:r>
          </w:p>
        </w:tc>
        <w:tc>
          <w:tcPr>
            <w:tcW w:type="dxa" w:w="1728"/>
          </w:tcPr>
          <w:p>
            <w:r>
              <w:t>Technology services</w:t>
            </w:r>
          </w:p>
        </w:tc>
        <w:tc>
          <w:tcPr>
            <w:tcW w:type="dxa" w:w="1728"/>
          </w:tcPr>
          <w:p>
            <w:r>
              <w:t>Packaged software</w:t>
            </w:r>
          </w:p>
        </w:tc>
        <w:tc>
          <w:tcPr>
            <w:tcW w:type="dxa" w:w="1728"/>
          </w:tcPr>
          <w:p>
            <w:r>
              <w:t>1.466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PLTR</w:t>
            </w:r>
          </w:p>
        </w:tc>
        <w:tc>
          <w:tcPr>
            <w:tcW w:type="dxa" w:w="1728"/>
          </w:tcPr>
          <w:p>
            <w:r>
              <w:t>Technology services</w:t>
            </w:r>
          </w:p>
        </w:tc>
        <w:tc>
          <w:tcPr>
            <w:tcW w:type="dxa" w:w="1728"/>
          </w:tcPr>
          <w:p>
            <w:r>
              <w:t>Packaged software</w:t>
            </w:r>
          </w:p>
        </w:tc>
        <w:tc>
          <w:tcPr>
            <w:tcW w:type="dxa" w:w="1728"/>
          </w:tcPr>
          <w:p>
            <w:r>
              <w:t>1.326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AVGO</w:t>
            </w:r>
          </w:p>
        </w:tc>
        <w:tc>
          <w:tcPr>
            <w:tcW w:type="dxa" w:w="1728"/>
          </w:tcPr>
          <w:p>
            <w:r>
              <w:t>Electronic technology</w:t>
            </w:r>
          </w:p>
        </w:tc>
        <w:tc>
          <w:tcPr>
            <w:tcW w:type="dxa" w:w="1728"/>
          </w:tcPr>
          <w:p>
            <w:r>
              <w:t>Semiconductors</w:t>
            </w:r>
          </w:p>
        </w:tc>
        <w:tc>
          <w:tcPr>
            <w:tcW w:type="dxa" w:w="1728"/>
          </w:tcPr>
          <w:p>
            <w:r>
              <w:t>1.218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GOOGL</w:t>
            </w:r>
          </w:p>
        </w:tc>
        <w:tc>
          <w:tcPr>
            <w:tcW w:type="dxa" w:w="1728"/>
          </w:tcPr>
          <w:p>
            <w:r>
              <w:t>Technology services</w:t>
            </w:r>
          </w:p>
        </w:tc>
        <w:tc>
          <w:tcPr>
            <w:tcW w:type="dxa" w:w="1728"/>
          </w:tcPr>
          <w:p>
            <w:r>
              <w:t>Internet software/Se...</w:t>
            </w:r>
          </w:p>
        </w:tc>
        <w:tc>
          <w:tcPr>
            <w:tcW w:type="dxa" w:w="1728"/>
          </w:tcPr>
          <w:p>
            <w:r>
              <w:t>1.161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GOOG</w:t>
            </w:r>
          </w:p>
        </w:tc>
        <w:tc>
          <w:tcPr>
            <w:tcW w:type="dxa" w:w="1728"/>
          </w:tcPr>
          <w:p>
            <w:r>
              <w:t>Technology services</w:t>
            </w:r>
          </w:p>
        </w:tc>
        <w:tc>
          <w:tcPr>
            <w:tcW w:type="dxa" w:w="1728"/>
          </w:tcPr>
          <w:p>
            <w:r>
              <w:t>Internet software/Se...</w:t>
            </w:r>
          </w:p>
        </w:tc>
        <w:tc>
          <w:tcPr>
            <w:tcW w:type="dxa" w:w="1728"/>
          </w:tcPr>
          <w:p>
            <w:r>
              <w:t>1.155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SHOP</w:t>
            </w:r>
          </w:p>
        </w:tc>
        <w:tc>
          <w:tcPr>
            <w:tcW w:type="dxa" w:w="1728"/>
          </w:tcPr>
          <w:p>
            <w:r>
              <w:t>Commercial services</w:t>
            </w:r>
          </w:p>
        </w:tc>
        <w:tc>
          <w:tcPr>
            <w:tcW w:type="dxa" w:w="1728"/>
          </w:tcPr>
          <w:p>
            <w:r>
              <w:t>Miscellaneous commer...</w:t>
            </w:r>
          </w:p>
        </w:tc>
        <w:tc>
          <w:tcPr>
            <w:tcW w:type="dxa" w:w="1728"/>
          </w:tcPr>
          <w:p>
            <w:r>
              <w:t>1.155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MU</w:t>
            </w:r>
          </w:p>
        </w:tc>
        <w:tc>
          <w:tcPr>
            <w:tcW w:type="dxa" w:w="1728"/>
          </w:tcPr>
          <w:p>
            <w:r>
              <w:t>Electronic technology</w:t>
            </w:r>
          </w:p>
        </w:tc>
        <w:tc>
          <w:tcPr>
            <w:tcW w:type="dxa" w:w="1728"/>
          </w:tcPr>
          <w:p>
            <w:r>
              <w:t>Semiconductors</w:t>
            </w:r>
          </w:p>
        </w:tc>
        <w:tc>
          <w:tcPr>
            <w:tcW w:type="dxa" w:w="1728"/>
          </w:tcPr>
          <w:p>
            <w:r>
              <w:t>1.125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MSTR</w:t>
            </w:r>
          </w:p>
        </w:tc>
        <w:tc>
          <w:tcPr>
            <w:tcW w:type="dxa" w:w="1728"/>
          </w:tcPr>
          <w:p>
            <w:r>
              <w:t>Technology services</w:t>
            </w:r>
          </w:p>
        </w:tc>
        <w:tc>
          <w:tcPr>
            <w:tcW w:type="dxa" w:w="1728"/>
          </w:tcPr>
          <w:p>
            <w:r>
              <w:t>Internet software/Se...</w:t>
            </w:r>
          </w:p>
        </w:tc>
        <w:tc>
          <w:tcPr>
            <w:tcW w:type="dxa" w:w="1728"/>
          </w:tcPr>
          <w:p>
            <w:r>
              <w:t>1.067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TSLA</w:t>
            </w:r>
          </w:p>
        </w:tc>
        <w:tc>
          <w:tcPr>
            <w:tcW w:type="dxa" w:w="1728"/>
          </w:tcPr>
          <w:p>
            <w:r>
              <w:t>Consumer durables</w:t>
            </w:r>
          </w:p>
        </w:tc>
        <w:tc>
          <w:tcPr>
            <w:tcW w:type="dxa" w:w="1728"/>
          </w:tcPr>
          <w:p>
            <w:r>
              <w:t>Motor vehicles</w:t>
            </w:r>
          </w:p>
        </w:tc>
        <w:tc>
          <w:tcPr>
            <w:tcW w:type="dxa" w:w="1728"/>
          </w:tcPr>
          <w:p>
            <w:r>
              <w:t>1.066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DASH</w:t>
            </w:r>
          </w:p>
        </w:tc>
        <w:tc>
          <w:tcPr>
            <w:tcW w:type="dxa" w:w="1728"/>
          </w:tcPr>
          <w:p>
            <w:r>
              <w:t>Transportation</w:t>
            </w:r>
          </w:p>
        </w:tc>
        <w:tc>
          <w:tcPr>
            <w:tcW w:type="dxa" w:w="1728"/>
          </w:tcPr>
          <w:p>
            <w:r>
              <w:t>Air freight/Couriers</w:t>
            </w:r>
          </w:p>
        </w:tc>
        <w:tc>
          <w:tcPr>
            <w:tcW w:type="dxa" w:w="1728"/>
          </w:tcPr>
          <w:p>
            <w:r>
              <w:t>1.064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IDXX</w:t>
            </w:r>
          </w:p>
        </w:tc>
        <w:tc>
          <w:tcPr>
            <w:tcW w:type="dxa" w:w="1728"/>
          </w:tcPr>
          <w:p>
            <w:r>
              <w:t>Health technology</w:t>
            </w:r>
          </w:p>
        </w:tc>
        <w:tc>
          <w:tcPr>
            <w:tcW w:type="dxa" w:w="1728"/>
          </w:tcPr>
          <w:p>
            <w:r>
              <w:t>Medical specialties</w:t>
            </w:r>
          </w:p>
        </w:tc>
        <w:tc>
          <w:tcPr>
            <w:tcW w:type="dxa" w:w="1728"/>
          </w:tcPr>
          <w:p>
            <w:r>
              <w:t>1.056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ADSK</w:t>
            </w:r>
          </w:p>
        </w:tc>
        <w:tc>
          <w:tcPr>
            <w:tcW w:type="dxa" w:w="1728"/>
          </w:tcPr>
          <w:p>
            <w:r>
              <w:t>Technology services</w:t>
            </w:r>
          </w:p>
        </w:tc>
        <w:tc>
          <w:tcPr>
            <w:tcW w:type="dxa" w:w="1728"/>
          </w:tcPr>
          <w:p>
            <w:r>
              <w:t>Packaged software</w:t>
            </w:r>
          </w:p>
        </w:tc>
        <w:tc>
          <w:tcPr>
            <w:tcW w:type="dxa" w:w="1728"/>
          </w:tcPr>
          <w:p>
            <w:r>
              <w:t>1.053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NFLX</w:t>
            </w:r>
          </w:p>
        </w:tc>
        <w:tc>
          <w:tcPr>
            <w:tcW w:type="dxa" w:w="1728"/>
          </w:tcPr>
          <w:p>
            <w:r>
              <w:t>Technology services</w:t>
            </w:r>
          </w:p>
        </w:tc>
        <w:tc>
          <w:tcPr>
            <w:tcW w:type="dxa" w:w="1728"/>
          </w:tcPr>
          <w:p>
            <w:r>
              <w:t>Internet software/Se...</w:t>
            </w:r>
          </w:p>
        </w:tc>
        <w:tc>
          <w:tcPr>
            <w:tcW w:type="dxa" w:w="1728"/>
          </w:tcPr>
          <w:p>
            <w:r>
              <w:t>1.051</w:t>
            </w:r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WBD</w:t>
            </w:r>
          </w:p>
        </w:tc>
        <w:tc>
          <w:tcPr>
            <w:tcW w:type="dxa" w:w="1728"/>
          </w:tcPr>
          <w:p>
            <w:r>
              <w:t>Consumer services</w:t>
            </w:r>
          </w:p>
        </w:tc>
        <w:tc>
          <w:tcPr>
            <w:tcW w:type="dxa" w:w="1728"/>
          </w:tcPr>
          <w:p>
            <w:r>
              <w:t>Cable/Satellite TV</w:t>
            </w:r>
          </w:p>
        </w:tc>
        <w:tc>
          <w:tcPr>
            <w:tcW w:type="dxa" w:w="1728"/>
          </w:tcPr>
          <w:p>
            <w:r>
              <w:t>1.051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LRCX</w:t>
            </w:r>
          </w:p>
        </w:tc>
        <w:tc>
          <w:tcPr>
            <w:tcW w:type="dxa" w:w="1728"/>
          </w:tcPr>
          <w:p>
            <w:r>
              <w:t>Producer manufacturing</w:t>
            </w:r>
          </w:p>
        </w:tc>
        <w:tc>
          <w:tcPr>
            <w:tcW w:type="dxa" w:w="1728"/>
          </w:tcPr>
          <w:p>
            <w:r>
              <w:t>Industrial machinery</w:t>
            </w:r>
          </w:p>
        </w:tc>
        <w:tc>
          <w:tcPr>
            <w:tcW w:type="dxa" w:w="1728"/>
          </w:tcPr>
          <w:p>
            <w:r>
              <w:t>1.048</w:t>
            </w:r>
          </w:p>
        </w:tc>
      </w:tr>
    </w:tbl>
    <w:p>
      <w:r>
        <w:br w:type="page"/>
      </w:r>
    </w:p>
    <w:p>
      <w:pPr>
        <w:pStyle w:val="CustomHeading1"/>
      </w:pPr>
      <w:r>
        <w:t>Methodology &amp; Data Sources</w:t>
      </w:r>
    </w:p>
    <w:p>
      <w:pPr>
        <w:pStyle w:val="CustomHeading2"/>
      </w:pPr>
      <w:r>
        <w:t>Relative Strength Calculation:</w:t>
      </w:r>
    </w:p>
    <w:p>
      <w:pPr>
        <w:pStyle w:val="ListBullet"/>
      </w:pPr>
      <w:r>
        <w:t>IBD-style relative strength methodology comparing individual securities to QQQ benchmark</w:t>
      </w:r>
    </w:p>
    <w:p>
      <w:pPr>
        <w:pStyle w:val="ListBullet"/>
      </w:pPr>
      <w:r>
        <w:t>Multi-timeframe analysis: 1d, 3d, 5d, 7d, 14d, 22d, 44d, 66d, 132d, 252d periods</w:t>
      </w:r>
    </w:p>
    <w:p>
      <w:pPr>
        <w:pStyle w:val="ListBullet"/>
      </w:pPr>
      <w:r>
        <w:t>RS = (Stock Return / Benchmark Return) for each period</w:t>
      </w:r>
    </w:p>
    <w:p>
      <w:pPr>
        <w:pStyle w:val="ListBullet"/>
      </w:pPr>
      <w:r>
        <w:t>Values &gt; 1.0 indicate outperformance, &lt; 1.0 indicate underperformance</w:t>
      </w:r>
    </w:p>
    <w:p/>
    <w:p>
      <w:pPr>
        <w:pStyle w:val="CustomHeading2"/>
      </w:pPr>
      <w:r>
        <w:t>Data Universe:</w:t>
      </w:r>
    </w:p>
    <w:p>
      <w:pPr>
        <w:pStyle w:val="ListBullet"/>
      </w:pPr>
      <w:r>
        <w:t>Combined ticker selection (choice 2-5) including major indices components</w:t>
      </w:r>
    </w:p>
    <w:p>
      <w:pPr>
        <w:pStyle w:val="ListBullet"/>
      </w:pPr>
      <w:r>
        <w:t>117 individual stocks analyzed</w:t>
      </w:r>
    </w:p>
    <w:p>
      <w:pPr>
        <w:pStyle w:val="ListBullet"/>
      </w:pPr>
      <w:r>
        <w:t>9 sectors and 10 industries examined</w:t>
      </w:r>
    </w:p>
    <w:p>
      <w:pPr>
        <w:pStyle w:val="ListBullet"/>
      </w:pPr>
      <w:r>
        <w:t>Data date: September 5, 2025</w:t>
      </w:r>
    </w:p>
    <w:p/>
    <w:p>
      <w:pPr>
        <w:pStyle w:val="CustomHeading2"/>
      </w:pPr>
      <w:r>
        <w:t>Analysis Tools:</w:t>
      </w:r>
    </w:p>
    <w:p>
      <w:pPr>
        <w:pStyle w:val="ListBullet"/>
      </w:pPr>
      <w:r>
        <w:t>Python ecosystem: pandas, scikit-learn, matplotlib, seaborn, plotly</w:t>
      </w:r>
    </w:p>
    <w:p>
      <w:pPr>
        <w:pStyle w:val="ListBullet"/>
      </w:pPr>
      <w:r>
        <w:t>Machine learning clustering using K-means, PCA, and t-SNE</w:t>
      </w:r>
    </w:p>
    <w:p>
      <w:pPr>
        <w:pStyle w:val="ListBullet"/>
      </w:pPr>
      <w:r>
        <w:t>Statistical analysis and pattern recognition algorithms</w:t>
      </w:r>
    </w:p>
    <w:p>
      <w:pPr>
        <w:pStyle w:val="ListBullet"/>
      </w:pPr>
      <w:r>
        <w:t>Interactive visualization and reporting capabilities</w:t>
      </w:r>
    </w:p>
    <w:p>
      <w:r>
        <w:br w:type="page"/>
      </w:r>
    </w:p>
    <w:p>
      <w:pPr>
        <w:pStyle w:val="CustomHeading1"/>
      </w:pPr>
      <w:r>
        <w:t>Important Disclaimers</w:t>
      </w:r>
    </w:p>
    <w:p>
      <w:pPr>
        <w:pStyle w:val="CustomHeading2"/>
      </w:pPr>
      <w:r>
        <w:t>⚠️ Investment Risk Warning:</w:t>
      </w:r>
    </w:p>
    <w:p>
      <w:pPr>
        <w:pStyle w:val="CustomBody"/>
      </w:pPr>
      <w:r>
        <w:t>This analysis is provided for educational and informational purposes only. Past performance does not guarantee future results. All investments carry risk of loss, and individual results may vary.</w:t>
      </w:r>
    </w:p>
    <w:p/>
    <w:p>
      <w:pPr>
        <w:pStyle w:val="CustomHeading2"/>
      </w:pPr>
      <w:r>
        <w:t>📊 Data Limitations:</w:t>
      </w:r>
    </w:p>
    <w:p>
      <w:pPr>
        <w:pStyle w:val="CustomBody"/>
      </w:pPr>
      <w:r>
        <w:t>Relative strength analysis is one factor among many in investment decision-making. This analysis does not consider fundamental valuation, news events, or broader economic factors that may impact security performance.</w:t>
      </w:r>
    </w:p>
    <w:p/>
    <w:p>
      <w:pPr>
        <w:pStyle w:val="CustomHeading2"/>
      </w:pPr>
      <w:r>
        <w:t>🔬 Methodology Considerations:</w:t>
      </w:r>
    </w:p>
    <w:p>
      <w:pPr>
        <w:pStyle w:val="ListBullet"/>
      </w:pPr>
      <w:r>
        <w:t>Analysis based on historical price data and mathematical relationships</w:t>
      </w:r>
    </w:p>
    <w:p>
      <w:pPr>
        <w:pStyle w:val="ListBullet"/>
      </w:pPr>
      <w:r>
        <w:t>Market conditions can change rapidly, affecting relative strength patterns</w:t>
      </w:r>
    </w:p>
    <w:p>
      <w:pPr>
        <w:pStyle w:val="ListBullet"/>
      </w:pPr>
      <w:r>
        <w:t>Machine learning results should be interpreted within proper statistical context</w:t>
      </w:r>
    </w:p>
    <w:p>
      <w:pPr>
        <w:pStyle w:val="ListBullet"/>
      </w:pPr>
      <w:r>
        <w:t>Professional investment advice should be sought before making investment decisions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Generated: September 20, 2025 at 02:19 AM • Confidential Analysis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Comprehensive Market Analysis Report • September 2025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 Title"/>
    <w:pPr>
      <w:spacing w:after="400"/>
      <w:jc w:val="center"/>
    </w:pPr>
    <w:rPr>
      <w:rFonts w:ascii="Calibri" w:hAnsi="Calibri"/>
      <w:b/>
      <w:color w:val="2C3E50"/>
      <w:sz w:val="48"/>
    </w:rPr>
  </w:style>
  <w:style w:type="paragraph" w:customStyle="1" w:styleId="CustomHeading1">
    <w:name w:val="Custom Heading 1"/>
    <w:pPr>
      <w:spacing w:before="400" w:after="200"/>
    </w:pPr>
    <w:rPr>
      <w:rFonts w:ascii="Calibri" w:hAnsi="Calibri"/>
      <w:b/>
      <w:color w:val="3498DB"/>
      <w:sz w:val="36"/>
    </w:rPr>
  </w:style>
  <w:style w:type="paragraph" w:customStyle="1" w:styleId="CustomHeading2">
    <w:name w:val="Custom Heading 2"/>
    <w:pPr>
      <w:spacing w:before="300" w:after="160"/>
    </w:pPr>
    <w:rPr>
      <w:rFonts w:ascii="Calibri" w:hAnsi="Calibri"/>
      <w:b/>
      <w:color w:val="2C3E50"/>
      <w:sz w:val="28"/>
    </w:rPr>
  </w:style>
  <w:style w:type="paragraph" w:customStyle="1" w:styleId="CustomBody">
    <w:name w:val="Custom Body"/>
    <w:pPr>
      <w:spacing w:after="120" w:line="276" w:lineRule="auto"/>
    </w:pPr>
    <w:rPr>
      <w:rFonts w:ascii="Calibri" w:hAnsi="Calibri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