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color w:val="003366"/>
          <w:sz w:val="48"/>
        </w:rPr>
        <w:t>Comprehensive Market Intelligence Report</w:t>
      </w:r>
    </w:p>
    <w:p>
      <w:pPr>
        <w:pStyle w:val="Heading2"/>
        <w:jc w:val="center"/>
      </w:pPr>
      <w:r>
        <w:rPr>
          <w:color w:val="666666"/>
          <w:sz w:val="32"/>
        </w:rPr>
        <w:t>Multi-Source Analysis with Advanced Analytics</w:t>
      </w:r>
    </w:p>
    <w:p/>
    <w:p/>
    <w:p>
      <w:pPr>
        <w:jc w:val="center"/>
      </w:pPr>
      <w:r>
        <w:rPr>
          <w:color w:val="333333"/>
          <w:sz w:val="24"/>
        </w:rPr>
        <w:t>📊 269 Data Files Analyzed • 🎯 117 Securities Covered • 🔬 AI-Enhanced Insights</w:t>
      </w:r>
    </w:p>
    <w:p/>
    <w:p>
      <w:pPr>
        <w:jc w:val="center"/>
      </w:pPr>
      <w:r>
        <w:rPr>
          <w:color w:val="666666"/>
          <w:sz w:val="22"/>
        </w:rPr>
        <w:t>Analysis Date: September 5, 2025</w:t>
        <w:br/>
        <w:t>Report Generated: September 20, 2025</w:t>
      </w:r>
    </w:p>
    <w:p>
      <w:r>
        <w:br w:type="page"/>
      </w:r>
    </w:p>
    <w:p>
      <w:pPr>
        <w:pStyle w:val="Heading1"/>
      </w:pPr>
      <w:r>
        <w:t>Executive Summary</w:t>
      </w:r>
    </w:p>
    <w:p>
      <w:r>
        <w:rPr>
          <w:sz w:val="22"/>
        </w:rPr>
        <w:t>This comprehensive analysis leverages 269 data files across 6 major categories to provide unparalleled market intelligence. Our multi-source approach combines basic calculations, relative strength analysis, percentile rankings, stage analysis, market breadth indicators, and universe-specific performance metrics.</w:t>
      </w:r>
    </w:p>
    <w:p/>
    <w:p>
      <w:pPr>
        <w:pStyle w:val="Heading2"/>
      </w:pPr>
      <w:r>
        <w:rPr>
          <w:color w:val="003366"/>
        </w:rPr>
        <w:t>Key Market Findings</w:t>
      </w:r>
    </w:p>
    <w:p>
      <w:pPr>
        <w:pStyle w:val="ListBullet"/>
      </w:pPr>
      <w:r>
        <w:rPr>
          <w:sz w:val="20"/>
        </w:rPr>
        <w:t>Comprehensive analysis data available for detailed review</w:t>
      </w:r>
    </w:p>
    <w:p>
      <w:pPr>
        <w:pStyle w:val="Heading1"/>
      </w:pPr>
      <w:r>
        <w:t>Data Scope &amp; Methodology</w:t>
      </w:r>
    </w:p>
    <w:tbl>
      <w:tblPr>
        <w:tblStyle w:val="LightGrid-Accent1"/>
        <w:tblW w:type="auto" w:w="0"/>
        <w:jc w:val="center"/>
        <w:tblLook w:firstColumn="1" w:firstRow="1" w:lastColumn="0" w:lastRow="0" w:noHBand="0" w:noVBand="1" w:val="04A0"/>
      </w:tblPr>
      <w:tblGrid>
        <w:gridCol w:w="2880"/>
        <w:gridCol w:w="2880"/>
        <w:gridCol w:w="2880"/>
      </w:tblGrid>
      <w:tr>
        <w:tc>
          <w:tcPr>
            <w:tcW w:type="dxa" w:w="2880"/>
            <w:vAlign w:val="center"/>
          </w:tcPr>
          <w:p>
            <w:pPr>
              <w:jc w:val="center"/>
            </w:pPr>
            <w:r>
              <w:rPr>
                <w:b/>
                <w:sz w:val="20"/>
              </w:rPr>
              <w:t>Data Category</w:t>
            </w:r>
          </w:p>
        </w:tc>
        <w:tc>
          <w:tcPr>
            <w:tcW w:type="dxa" w:w="2880"/>
            <w:vAlign w:val="center"/>
          </w:tcPr>
          <w:p>
            <w:pPr>
              <w:jc w:val="center"/>
            </w:pPr>
            <w:r>
              <w:rPr>
                <w:b/>
                <w:sz w:val="20"/>
              </w:rPr>
              <w:t>Files Analyzed</w:t>
            </w:r>
          </w:p>
        </w:tc>
        <w:tc>
          <w:tcPr>
            <w:tcW w:type="dxa" w:w="2880"/>
            <w:vAlign w:val="center"/>
          </w:tcPr>
          <w:p>
            <w:pPr>
              <w:jc w:val="center"/>
            </w:pPr>
            <w:r>
              <w:rPr>
                <w:b/>
                <w:sz w:val="20"/>
              </w:rPr>
              <w:t>Key Metrics</w:t>
            </w:r>
          </w:p>
        </w:tc>
      </w:tr>
      <w:tr>
        <w:tc>
          <w:tcPr>
            <w:tcW w:type="dxa" w:w="2880"/>
            <w:vAlign w:val="center"/>
          </w:tcPr>
          <w:p>
            <w:r>
              <w:rPr>
                <w:sz w:val="18"/>
              </w:rPr>
              <w:t>Basic Calculations</w:t>
            </w:r>
          </w:p>
        </w:tc>
        <w:tc>
          <w:tcPr>
            <w:tcW w:type="dxa" w:w="2880"/>
            <w:vAlign w:val="center"/>
          </w:tcPr>
          <w:p>
            <w:r>
              <w:rPr>
                <w:sz w:val="18"/>
              </w:rPr>
              <w:t>1</w:t>
            </w:r>
          </w:p>
        </w:tc>
        <w:tc>
          <w:tcPr>
            <w:tcW w:type="dxa" w:w="2880"/>
            <w:vAlign w:val="center"/>
          </w:tcPr>
          <w:p>
            <w:r>
              <w:rPr>
                <w:sz w:val="18"/>
              </w:rPr>
              <w:t>Price analysis, momentum, technical indicators</w:t>
            </w:r>
          </w:p>
        </w:tc>
      </w:tr>
      <w:tr>
        <w:tc>
          <w:tcPr>
            <w:tcW w:type="dxa" w:w="2880"/>
            <w:vAlign w:val="center"/>
          </w:tcPr>
          <w:p>
            <w:r>
              <w:rPr>
                <w:sz w:val="18"/>
              </w:rPr>
              <w:t>Relative Strength</w:t>
            </w:r>
          </w:p>
        </w:tc>
        <w:tc>
          <w:tcPr>
            <w:tcW w:type="dxa" w:w="2880"/>
            <w:vAlign w:val="center"/>
          </w:tcPr>
          <w:p>
            <w:r>
              <w:rPr>
                <w:sz w:val="18"/>
              </w:rPr>
              <w:t>5</w:t>
            </w:r>
          </w:p>
        </w:tc>
        <w:tc>
          <w:tcPr>
            <w:tcW w:type="dxa" w:w="2880"/>
            <w:vAlign w:val="center"/>
          </w:tcPr>
          <w:p>
            <w:r>
              <w:rPr>
                <w:sz w:val="18"/>
              </w:rPr>
              <w:t>Multi-timeframe RS vs QQQ benchmark</w:t>
            </w:r>
          </w:p>
        </w:tc>
      </w:tr>
      <w:tr>
        <w:tc>
          <w:tcPr>
            <w:tcW w:type="dxa" w:w="2880"/>
            <w:vAlign w:val="center"/>
          </w:tcPr>
          <w:p>
            <w:r>
              <w:rPr>
                <w:sz w:val="18"/>
              </w:rPr>
              <w:t>Percentile Rankings</w:t>
            </w:r>
          </w:p>
        </w:tc>
        <w:tc>
          <w:tcPr>
            <w:tcW w:type="dxa" w:w="2880"/>
            <w:vAlign w:val="center"/>
          </w:tcPr>
          <w:p>
            <w:r>
              <w:rPr>
                <w:sz w:val="18"/>
              </w:rPr>
              <w:t>3</w:t>
            </w:r>
          </w:p>
        </w:tc>
        <w:tc>
          <w:tcPr>
            <w:tcW w:type="dxa" w:w="2880"/>
            <w:vAlign w:val="center"/>
          </w:tcPr>
          <w:p>
            <w:r>
              <w:rPr>
                <w:sz w:val="18"/>
              </w:rPr>
              <w:t>Historical performance positioning</w:t>
            </w:r>
          </w:p>
        </w:tc>
      </w:tr>
      <w:tr>
        <w:tc>
          <w:tcPr>
            <w:tcW w:type="dxa" w:w="2880"/>
            <w:vAlign w:val="center"/>
          </w:tcPr>
          <w:p>
            <w:r>
              <w:rPr>
                <w:sz w:val="18"/>
              </w:rPr>
              <w:t>Stage Analysis</w:t>
            </w:r>
          </w:p>
        </w:tc>
        <w:tc>
          <w:tcPr>
            <w:tcW w:type="dxa" w:w="2880"/>
            <w:vAlign w:val="center"/>
          </w:tcPr>
          <w:p>
            <w:r>
              <w:rPr>
                <w:sz w:val="18"/>
              </w:rPr>
              <w:t>1</w:t>
            </w:r>
          </w:p>
        </w:tc>
        <w:tc>
          <w:tcPr>
            <w:tcW w:type="dxa" w:w="2880"/>
            <w:vAlign w:val="center"/>
          </w:tcPr>
          <w:p>
            <w:r>
              <w:rPr>
                <w:sz w:val="18"/>
              </w:rPr>
              <w:t>Market cycle stage identification</w:t>
            </w:r>
          </w:p>
        </w:tc>
      </w:tr>
      <w:tr>
        <w:tc>
          <w:tcPr>
            <w:tcW w:type="dxa" w:w="2880"/>
            <w:vAlign w:val="center"/>
          </w:tcPr>
          <w:p>
            <w:r>
              <w:rPr>
                <w:sz w:val="18"/>
              </w:rPr>
              <w:t>Market Breadth</w:t>
            </w:r>
          </w:p>
        </w:tc>
        <w:tc>
          <w:tcPr>
            <w:tcW w:type="dxa" w:w="2880"/>
            <w:vAlign w:val="center"/>
          </w:tcPr>
          <w:p>
            <w:r>
              <w:rPr>
                <w:sz w:val="18"/>
              </w:rPr>
              <w:t>3</w:t>
            </w:r>
          </w:p>
        </w:tc>
        <w:tc>
          <w:tcPr>
            <w:tcW w:type="dxa" w:w="2880"/>
            <w:vAlign w:val="center"/>
          </w:tcPr>
          <w:p>
            <w:r>
              <w:rPr>
                <w:sz w:val="18"/>
              </w:rPr>
              <w:t>Advance/decline, participation metrics</w:t>
            </w:r>
          </w:p>
        </w:tc>
      </w:tr>
      <w:tr>
        <w:tc>
          <w:tcPr>
            <w:tcW w:type="dxa" w:w="2880"/>
            <w:vAlign w:val="center"/>
          </w:tcPr>
          <w:p>
            <w:r>
              <w:rPr>
                <w:sz w:val="18"/>
              </w:rPr>
              <w:t>Ticker Universes</w:t>
            </w:r>
          </w:p>
        </w:tc>
        <w:tc>
          <w:tcPr>
            <w:tcW w:type="dxa" w:w="2880"/>
            <w:vAlign w:val="center"/>
          </w:tcPr>
          <w:p>
            <w:r>
              <w:rPr>
                <w:sz w:val="18"/>
              </w:rPr>
              <w:t>220</w:t>
            </w:r>
          </w:p>
        </w:tc>
        <w:tc>
          <w:tcPr>
            <w:tcW w:type="dxa" w:w="2880"/>
            <w:vAlign w:val="center"/>
          </w:tcPr>
          <w:p>
            <w:r>
              <w:rPr>
                <w:sz w:val="18"/>
              </w:rPr>
              <w:t>Comprehensive universe classifications</w:t>
            </w:r>
          </w:p>
        </w:tc>
      </w:tr>
      <w:tr>
        <w:tc>
          <w:tcPr>
            <w:tcW w:type="dxa" w:w="2880"/>
            <w:vAlign w:val="center"/>
          </w:tcPr>
          <w:p>
            <w:r>
              <w:rPr>
                <w:sz w:val="18"/>
              </w:rPr>
              <w:t>Post Process</w:t>
            </w:r>
          </w:p>
        </w:tc>
        <w:tc>
          <w:tcPr>
            <w:tcW w:type="dxa" w:w="2880"/>
            <w:vAlign w:val="center"/>
          </w:tcPr>
          <w:p>
            <w:r>
              <w:rPr>
                <w:sz w:val="18"/>
              </w:rPr>
              <w:t>36</w:t>
            </w:r>
          </w:p>
        </w:tc>
        <w:tc>
          <w:tcPr>
            <w:tcW w:type="dxa" w:w="2880"/>
            <w:vAlign w:val="center"/>
          </w:tcPr>
          <w:p>
            <w:r>
              <w:rPr>
                <w:sz w:val="18"/>
              </w:rPr>
              <w:t>Advanced analytics and correlations</w:t>
            </w:r>
          </w:p>
        </w:tc>
      </w:tr>
    </w:tbl>
    <w:p/>
    <w:p>
      <w:r>
        <w:rPr>
          <w:sz w:val="20"/>
        </w:rPr>
        <w:t>Our analysis employs a multi-dimensional approach combining traditional technical analysis with advanced machine learning techniques. The comprehensive dataset enables cross-validation of signals and identification of patterns not visible in single-source analysis.</w:t>
      </w:r>
    </w:p>
    <w:p>
      <w:r>
        <w:br w:type="page"/>
      </w:r>
    </w:p>
    <w:p>
      <w:pPr>
        <w:pStyle w:val="Heading1"/>
      </w:pPr>
      <w:r>
        <w:t>Market Analysis Results</w:t>
      </w:r>
    </w:p>
    <w:p>
      <w:pPr>
        <w:pStyle w:val="Heading2"/>
      </w:pPr>
      <w:r>
        <w:t>Top Performing Securities</w:t>
      </w:r>
    </w:p>
    <w:tbl>
      <w:tblPr>
        <w:tblStyle w:val="LightList-Accent1"/>
        <w:tblW w:type="auto" w:w="0"/>
        <w:tblLook w:firstColumn="1" w:firstRow="1" w:lastColumn="0" w:lastRow="0" w:noHBand="0" w:noVBand="1" w:val="04A0"/>
      </w:tblPr>
      <w:tblGrid>
        <w:gridCol w:w="2160"/>
        <w:gridCol w:w="2160"/>
        <w:gridCol w:w="2160"/>
        <w:gridCol w:w="2160"/>
      </w:tblGrid>
      <w:tr>
        <w:tc>
          <w:tcPr>
            <w:tcW w:type="dxa" w:w="2160"/>
          </w:tcPr>
          <w:p>
            <w:r>
              <w:rPr>
                <w:b/>
                <w:sz w:val="18"/>
              </w:rPr>
              <w:t>Symbol</w:t>
            </w:r>
          </w:p>
        </w:tc>
        <w:tc>
          <w:tcPr>
            <w:tcW w:type="dxa" w:w="2160"/>
          </w:tcPr>
          <w:p>
            <w:r>
              <w:rPr>
                <w:b/>
                <w:sz w:val="18"/>
              </w:rPr>
              <w:t>Sector</w:t>
            </w:r>
          </w:p>
        </w:tc>
        <w:tc>
          <w:tcPr>
            <w:tcW w:type="dxa" w:w="2160"/>
          </w:tcPr>
          <w:p>
            <w:r>
              <w:rPr>
                <w:b/>
                <w:sz w:val="18"/>
              </w:rPr>
              <w:t>252d RS</w:t>
            </w:r>
          </w:p>
        </w:tc>
        <w:tc>
          <w:tcPr>
            <w:tcW w:type="dxa" w:w="2160"/>
          </w:tcPr>
          <w:p>
            <w:r>
              <w:rPr>
                <w:b/>
                <w:sz w:val="18"/>
              </w:rPr>
              <w:t>Current Price</w:t>
            </w:r>
          </w:p>
        </w:tc>
      </w:tr>
      <w:tr>
        <w:tc>
          <w:tcPr>
            <w:tcW w:type="dxa" w:w="2160"/>
          </w:tcPr>
          <w:p>
            <w:r>
              <w:rPr>
                <w:sz w:val="16"/>
              </w:rPr>
              <w:t>APP</w:t>
            </w:r>
          </w:p>
        </w:tc>
        <w:tc>
          <w:tcPr>
            <w:tcW w:type="dxa" w:w="2160"/>
          </w:tcPr>
          <w:p>
            <w:r>
              <w:rPr>
                <w:sz w:val="16"/>
              </w:rPr>
              <w:t>Technology services</w:t>
            </w:r>
          </w:p>
        </w:tc>
        <w:tc>
          <w:tcPr>
            <w:tcW w:type="dxa" w:w="2160"/>
          </w:tcPr>
          <w:p>
            <w:r>
              <w:rPr>
                <w:sz w:val="16"/>
              </w:rPr>
              <w:t>4.434</w:t>
            </w:r>
          </w:p>
        </w:tc>
        <w:tc>
          <w:tcPr>
            <w:tcW w:type="dxa" w:w="2160"/>
          </w:tcPr>
          <w:p>
            <w:r>
              <w:rPr>
                <w:sz w:val="16"/>
              </w:rPr>
              <w:t>N/A</w:t>
            </w:r>
          </w:p>
        </w:tc>
      </w:tr>
      <w:tr>
        <w:tc>
          <w:tcPr>
            <w:tcW w:type="dxa" w:w="2160"/>
          </w:tcPr>
          <w:p>
            <w:r>
              <w:rPr>
                <w:sz w:val="16"/>
              </w:rPr>
              <w:t>PLTR</w:t>
            </w:r>
          </w:p>
        </w:tc>
        <w:tc>
          <w:tcPr>
            <w:tcW w:type="dxa" w:w="2160"/>
          </w:tcPr>
          <w:p>
            <w:r>
              <w:rPr>
                <w:sz w:val="16"/>
              </w:rPr>
              <w:t>Technology services</w:t>
            </w:r>
          </w:p>
        </w:tc>
        <w:tc>
          <w:tcPr>
            <w:tcW w:type="dxa" w:w="2160"/>
          </w:tcPr>
          <w:p>
            <w:r>
              <w:rPr>
                <w:sz w:val="16"/>
              </w:rPr>
              <w:t>4.000</w:t>
            </w:r>
          </w:p>
        </w:tc>
        <w:tc>
          <w:tcPr>
            <w:tcW w:type="dxa" w:w="2160"/>
          </w:tcPr>
          <w:p>
            <w:r>
              <w:rPr>
                <w:sz w:val="16"/>
              </w:rPr>
              <w:t>N/A</w:t>
            </w:r>
          </w:p>
        </w:tc>
      </w:tr>
      <w:tr>
        <w:tc>
          <w:tcPr>
            <w:tcW w:type="dxa" w:w="2160"/>
          </w:tcPr>
          <w:p>
            <w:r>
              <w:rPr>
                <w:sz w:val="16"/>
              </w:rPr>
              <w:t>MSTR</w:t>
            </w:r>
          </w:p>
        </w:tc>
        <w:tc>
          <w:tcPr>
            <w:tcW w:type="dxa" w:w="2160"/>
          </w:tcPr>
          <w:p>
            <w:r>
              <w:rPr>
                <w:sz w:val="16"/>
              </w:rPr>
              <w:t>Technology services</w:t>
            </w:r>
          </w:p>
        </w:tc>
        <w:tc>
          <w:tcPr>
            <w:tcW w:type="dxa" w:w="2160"/>
          </w:tcPr>
          <w:p>
            <w:r>
              <w:rPr>
                <w:sz w:val="16"/>
              </w:rPr>
              <w:t>2.189</w:t>
            </w:r>
          </w:p>
        </w:tc>
        <w:tc>
          <w:tcPr>
            <w:tcW w:type="dxa" w:w="2160"/>
          </w:tcPr>
          <w:p>
            <w:r>
              <w:rPr>
                <w:sz w:val="16"/>
              </w:rPr>
              <w:t>N/A</w:t>
            </w:r>
          </w:p>
        </w:tc>
      </w:tr>
      <w:tr>
        <w:tc>
          <w:tcPr>
            <w:tcW w:type="dxa" w:w="2160"/>
          </w:tcPr>
          <w:p>
            <w:r>
              <w:rPr>
                <w:sz w:val="16"/>
              </w:rPr>
              <w:t>AVGO</w:t>
            </w:r>
          </w:p>
        </w:tc>
        <w:tc>
          <w:tcPr>
            <w:tcW w:type="dxa" w:w="2160"/>
          </w:tcPr>
          <w:p>
            <w:r>
              <w:rPr>
                <w:sz w:val="16"/>
              </w:rPr>
              <w:t>Electronic technolog</w:t>
            </w:r>
          </w:p>
        </w:tc>
        <w:tc>
          <w:tcPr>
            <w:tcW w:type="dxa" w:w="2160"/>
          </w:tcPr>
          <w:p>
            <w:r>
              <w:rPr>
                <w:sz w:val="16"/>
              </w:rPr>
              <w:t>1.767</w:t>
            </w:r>
          </w:p>
        </w:tc>
        <w:tc>
          <w:tcPr>
            <w:tcW w:type="dxa" w:w="2160"/>
          </w:tcPr>
          <w:p>
            <w:r>
              <w:rPr>
                <w:sz w:val="16"/>
              </w:rPr>
              <w:t>N/A</w:t>
            </w:r>
          </w:p>
        </w:tc>
      </w:tr>
      <w:tr>
        <w:tc>
          <w:tcPr>
            <w:tcW w:type="dxa" w:w="2160"/>
          </w:tcPr>
          <w:p>
            <w:r>
              <w:rPr>
                <w:sz w:val="16"/>
              </w:rPr>
              <w:t>SHOP</w:t>
            </w:r>
          </w:p>
        </w:tc>
        <w:tc>
          <w:tcPr>
            <w:tcW w:type="dxa" w:w="2160"/>
          </w:tcPr>
          <w:p>
            <w:r>
              <w:rPr>
                <w:sz w:val="16"/>
              </w:rPr>
              <w:t>Commercial services</w:t>
            </w:r>
          </w:p>
        </w:tc>
        <w:tc>
          <w:tcPr>
            <w:tcW w:type="dxa" w:w="2160"/>
          </w:tcPr>
          <w:p>
            <w:r>
              <w:rPr>
                <w:sz w:val="16"/>
              </w:rPr>
              <w:t>1.642</w:t>
            </w:r>
          </w:p>
        </w:tc>
        <w:tc>
          <w:tcPr>
            <w:tcW w:type="dxa" w:w="2160"/>
          </w:tcPr>
          <w:p>
            <w:r>
              <w:rPr>
                <w:sz w:val="16"/>
              </w:rPr>
              <w:t>N/A</w:t>
            </w:r>
          </w:p>
        </w:tc>
      </w:tr>
      <w:tr>
        <w:tc>
          <w:tcPr>
            <w:tcW w:type="dxa" w:w="2160"/>
          </w:tcPr>
          <w:p>
            <w:r>
              <w:rPr>
                <w:sz w:val="16"/>
              </w:rPr>
              <w:t>AXON</w:t>
            </w:r>
          </w:p>
        </w:tc>
        <w:tc>
          <w:tcPr>
            <w:tcW w:type="dxa" w:w="2160"/>
          </w:tcPr>
          <w:p>
            <w:r>
              <w:rPr>
                <w:sz w:val="16"/>
              </w:rPr>
              <w:t>Electronic technolog</w:t>
            </w:r>
          </w:p>
        </w:tc>
        <w:tc>
          <w:tcPr>
            <w:tcW w:type="dxa" w:w="2160"/>
          </w:tcPr>
          <w:p>
            <w:r>
              <w:rPr>
                <w:sz w:val="16"/>
              </w:rPr>
              <w:t>1.635</w:t>
            </w:r>
          </w:p>
        </w:tc>
        <w:tc>
          <w:tcPr>
            <w:tcW w:type="dxa" w:w="2160"/>
          </w:tcPr>
          <w:p>
            <w:r>
              <w:rPr>
                <w:sz w:val="16"/>
              </w:rPr>
              <w:t>N/A</w:t>
            </w:r>
          </w:p>
        </w:tc>
      </w:tr>
      <w:tr>
        <w:tc>
          <w:tcPr>
            <w:tcW w:type="dxa" w:w="2160"/>
          </w:tcPr>
          <w:p>
            <w:r>
              <w:rPr>
                <w:sz w:val="16"/>
              </w:rPr>
              <w:t>DASH</w:t>
            </w:r>
          </w:p>
        </w:tc>
        <w:tc>
          <w:tcPr>
            <w:tcW w:type="dxa" w:w="2160"/>
          </w:tcPr>
          <w:p>
            <w:r>
              <w:rPr>
                <w:sz w:val="16"/>
              </w:rPr>
              <w:t>Transportation</w:t>
            </w:r>
          </w:p>
        </w:tc>
        <w:tc>
          <w:tcPr>
            <w:tcW w:type="dxa" w:w="2160"/>
          </w:tcPr>
          <w:p>
            <w:r>
              <w:rPr>
                <w:sz w:val="16"/>
              </w:rPr>
              <w:t>1.574</w:t>
            </w:r>
          </w:p>
        </w:tc>
        <w:tc>
          <w:tcPr>
            <w:tcW w:type="dxa" w:w="2160"/>
          </w:tcPr>
          <w:p>
            <w:r>
              <w:rPr>
                <w:sz w:val="16"/>
              </w:rPr>
              <w:t>N/A</w:t>
            </w:r>
          </w:p>
        </w:tc>
      </w:tr>
      <w:tr>
        <w:tc>
          <w:tcPr>
            <w:tcW w:type="dxa" w:w="2160"/>
          </w:tcPr>
          <w:p>
            <w:r>
              <w:rPr>
                <w:sz w:val="16"/>
              </w:rPr>
              <w:t>NFLX</w:t>
            </w:r>
          </w:p>
        </w:tc>
        <w:tc>
          <w:tcPr>
            <w:tcW w:type="dxa" w:w="2160"/>
          </w:tcPr>
          <w:p>
            <w:r>
              <w:rPr>
                <w:sz w:val="16"/>
              </w:rPr>
              <w:t>Technology services</w:t>
            </w:r>
          </w:p>
        </w:tc>
        <w:tc>
          <w:tcPr>
            <w:tcW w:type="dxa" w:w="2160"/>
          </w:tcPr>
          <w:p>
            <w:r>
              <w:rPr>
                <w:sz w:val="16"/>
              </w:rPr>
              <w:t>1.468</w:t>
            </w:r>
          </w:p>
        </w:tc>
        <w:tc>
          <w:tcPr>
            <w:tcW w:type="dxa" w:w="2160"/>
          </w:tcPr>
          <w:p>
            <w:r>
              <w:rPr>
                <w:sz w:val="16"/>
              </w:rPr>
              <w:t>N/A</w:t>
            </w:r>
          </w:p>
        </w:tc>
      </w:tr>
    </w:tbl>
    <w:p/>
    <w:p>
      <w:pPr>
        <w:pStyle w:val="Heading2"/>
      </w:pPr>
      <w:r>
        <w:t>Market Stage Distribution</w:t>
      </w:r>
    </w:p>
    <w:p>
      <w:r>
        <w:rPr>
          <w:sz w:val="20"/>
        </w:rPr>
        <w:t>Analysis of 117 securities reveals the following stage distribution:</w:t>
        <w:br/>
        <w:br/>
      </w:r>
      <w:r>
        <w:rPr>
          <w:sz w:val="20"/>
        </w:rPr>
        <w:t>• Bullish Trend: 33 securities (28.2%)</w:t>
        <w:br/>
      </w:r>
      <w:r>
        <w:rPr>
          <w:sz w:val="20"/>
        </w:rPr>
        <w:t>• Bearish Trend: 30 securities (25.6%)</w:t>
        <w:br/>
      </w:r>
      <w:r>
        <w:rPr>
          <w:sz w:val="20"/>
        </w:rPr>
        <w:t>• Mean Reversion: 12 securities (10.3%)</w:t>
        <w:br/>
      </w:r>
      <w:r>
        <w:rPr>
          <w:sz w:val="20"/>
        </w:rPr>
        <w:t>• Launch Pad: 11 securities (9.4%)</w:t>
        <w:br/>
      </w:r>
      <w:r>
        <w:rPr>
          <w:sz w:val="20"/>
        </w:rPr>
        <w:t>• Bullish Fade: 8 securities (6.8%)</w:t>
        <w:br/>
      </w:r>
    </w:p>
    <w:p>
      <w:r>
        <w:br w:type="page"/>
      </w:r>
    </w:p>
    <w:p>
      <w:pPr>
        <w:pStyle w:val="Heading1"/>
      </w:pPr>
      <w:r>
        <w:t>Technical Appendix</w:t>
      </w:r>
    </w:p>
    <w:p>
      <w:pPr>
        <w:pStyle w:val="Heading2"/>
      </w:pPr>
      <w:r>
        <w:t>Data Processing Methodology</w:t>
      </w:r>
    </w:p>
    <w:p>
      <w:pPr>
        <w:pStyle w:val="ListBullet"/>
      </w:pPr>
      <w:r>
        <w:t>• Multi-source data integration using pandas and numpy for optimal performance</w:t>
      </w:r>
    </w:p>
    <w:p>
      <w:pPr>
        <w:pStyle w:val="ListBullet"/>
      </w:pPr>
      <w:r>
        <w:t>• Cross-validation of signals across different timeframes and data sources</w:t>
      </w:r>
    </w:p>
    <w:p>
      <w:pPr>
        <w:pStyle w:val="ListBullet"/>
      </w:pPr>
      <w:r>
        <w:t>• Machine learning pattern recognition using scikit-learn algorithms</w:t>
      </w:r>
    </w:p>
    <w:p>
      <w:pPr>
        <w:pStyle w:val="ListBullet"/>
      </w:pPr>
      <w:r>
        <w:t>• Statistical validation using correlation analysis and significance testing</w:t>
      </w:r>
    </w:p>
    <w:p>
      <w:pPr>
        <w:pStyle w:val="ListBullet"/>
      </w:pPr>
      <w:r>
        <w:t>• Professional visualization using matplotlib, seaborn, and plotly libraries</w:t>
      </w:r>
    </w:p>
    <w:p/>
    <w:p>
      <w:pPr>
        <w:pStyle w:val="Heading2"/>
      </w:pPr>
      <w:r>
        <w:t>Relative Strength Calculation</w:t>
      </w:r>
    </w:p>
    <w:p>
      <w:r>
        <w:rPr>
          <w:sz w:val="20"/>
        </w:rPr>
        <w:t>Relative Strength (RS) is calculated using the IBD methodology, comparing individual security performance to the QQQ benchmark across multiple timeframes. The formula used is:</w:t>
        <w:br/>
        <w:br/>
        <w:t>RS = (Security Return / Benchmark Return) over specified period</w:t>
        <w:br/>
        <w:br/>
        <w:t>Values &gt; 1.0 indicate outperformance, while values &lt; 1.0 indicate underperformance.</w:t>
      </w:r>
    </w:p>
    <w:p/>
    <w:p>
      <w:pPr>
        <w:pStyle w:val="Heading2"/>
      </w:pPr>
      <w:r>
        <w:t>Important Disclaimers</w:t>
      </w:r>
    </w:p>
    <w:p>
      <w:r>
        <w:rPr>
          <w:i/>
          <w:color w:val="666666"/>
          <w:sz w:val="18"/>
        </w:rPr>
        <w:t>This analysis is provided for educational and informational purposes only. Past performance does not guarantee future results. All investments carry risk of loss, and individual results may vary. Professional investment advice should be sought before making investment decisions.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