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2420112" cy="609600"/>
            <wp:effectExtent b="0" l="0" r="0" t="0"/>
            <wp:docPr id="1" name="image-9bfe6b02ad6e83226c3cfba4b7d91fa59e5be492.png"/>
            <a:graphic>
              <a:graphicData uri="http://schemas.openxmlformats.org/drawingml/2006/picture">
                <pic:pic>
                  <pic:nvPicPr>
                    <pic:cNvPr id="1" name="image-9bfe6b02ad6e83226c3cfba4b7d91fa59e5be492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r>
        <w:rPr>
          <w:rFonts w:eastAsia="inter" w:cs="inter" w:ascii="inter" w:hAnsi="inter"/>
          <w:b/>
          <w:color w:val="000000"/>
          <w:sz w:val="39"/>
        </w:rPr>
        <w:t xml:space="preserve">Market Overview Dashboard Design for Excel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Based on my analysis of institutional trading desk layouts and market pulse indicators, I've designed a comprehensive </w:t>
      </w:r>
      <w:r>
        <w:rPr>
          <w:rFonts w:eastAsia="inter" w:cs="inter" w:ascii="inter" w:hAnsi="inter"/>
          <w:b/>
          <w:color w:val="000000"/>
        </w:rPr>
        <w:t xml:space="preserve">post-market close dashboard</w:t>
      </w:r>
      <w:r>
        <w:rPr>
          <w:rFonts w:eastAsia="inter" w:cs="inter" w:ascii="inter" w:hAnsi="inter"/>
          <w:color w:val="000000"/>
        </w:rPr>
        <w:t xml:space="preserve"> that combines professional-grade market analysis with Excel's accessibility. Here's your complete dashboard design with mock data: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🎯 </w:t>
      </w:r>
      <w:r>
        <w:rPr>
          <w:rFonts w:eastAsia="inter" w:cs="inter" w:ascii="inter" w:hAnsi="inter"/>
          <w:b/>
          <w:color w:val="000000"/>
          <w:sz w:val="24"/>
        </w:rPr>
        <w:t xml:space="preserve">Dashboard Overview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dashboard is structured as an </w:t>
      </w:r>
      <w:r>
        <w:rPr>
          <w:rFonts w:eastAsia="inter" w:cs="inter" w:ascii="inter" w:hAnsi="inter"/>
          <w:b/>
          <w:color w:val="000000"/>
        </w:rPr>
        <w:t xml:space="preserve">executive summary</w:t>
      </w:r>
      <w:r>
        <w:rPr>
          <w:rFonts w:eastAsia="inter" w:cs="inter" w:ascii="inter" w:hAnsi="inter"/>
          <w:color w:val="000000"/>
        </w:rPr>
        <w:t xml:space="preserve"> optimized for quick decision-making after market close, featuring: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8-section layout</w:t>
      </w:r>
      <w:r>
        <w:rPr>
          <w:rFonts w:eastAsia="inter" w:cs="inter" w:ascii="inter" w:hAnsi="inter"/>
          <w:color w:val="000000"/>
          <w:sz w:val="21"/>
        </w:rPr>
        <w:t xml:space="preserve"> covering all critical market aspects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Professional color coding</w:t>
      </w:r>
      <w:r>
        <w:rPr>
          <w:rFonts w:eastAsia="inter" w:cs="inter" w:ascii="inter" w:hAnsi="inter"/>
          <w:color w:val="000000"/>
          <w:sz w:val="21"/>
        </w:rPr>
        <w:t xml:space="preserve"> (🟢 Bullish, 🟡 Caution, 🔴 Bearish)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Real-time indicators</w:t>
      </w:r>
      <w:r>
        <w:rPr>
          <w:rFonts w:eastAsia="inter" w:cs="inter" w:ascii="inter" w:hAnsi="inter"/>
          <w:color w:val="000000"/>
          <w:sz w:val="21"/>
        </w:rPr>
        <w:t xml:space="preserve"> including after-hours data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Institutional-grade signals</w:t>
      </w:r>
      <w:r>
        <w:rPr>
          <w:rFonts w:eastAsia="inter" w:cs="inter" w:ascii="inter" w:hAnsi="inter"/>
          <w:color w:val="000000"/>
          <w:sz w:val="21"/>
        </w:rPr>
        <w:t xml:space="preserve"> (GMI, breadth, sector rotation)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483846"/>
            <wp:effectExtent b="0" l="0" r="0" t="0"/>
            <wp:docPr id="2" name="image-55f452fbfaddc150787ffc174786bb103fa9e607.png"/>
            <a:graphic>
              <a:graphicData uri="http://schemas.openxmlformats.org/drawingml/2006/picture">
                <pic:pic>
                  <pic:nvPicPr>
                    <pic:cNvPr id="2" name="image-55f452fbfaddc150787ffc174786bb103fa9e607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838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Example of a Bloomberg Terminal dual-screen dashboard displaying a detailed market overview with futures and stock trade data, useful for designing a post-close market dashboard in Excel.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📊 </w:t>
      </w:r>
      <w:r>
        <w:rPr>
          <w:rFonts w:eastAsia="inter" w:cs="inter" w:ascii="inter" w:hAnsi="inter"/>
          <w:b/>
          <w:color w:val="000000"/>
          <w:sz w:val="24"/>
        </w:rPr>
        <w:t xml:space="preserve">Core Dashboard Structure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Header Section (Rows 1-4)</w:t>
      </w:r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MARKET OVERVIEW - POST CLOSE ANALYSIS</w:t>
        <w:br/>
        <w:t xml:space="preserve">Date: September 2, 2025 | Status: 🔴 CAUTION | Updated: 4:15 PM ET</w:t>
        <w:br/>
        <w:t xml:space="preserve"/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Main KPI Section (Rows 5-10)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2378"/>
        <w:gridCol w:w="2378"/>
        <w:gridCol w:w="2378"/>
        <w:gridCol w:w="2378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Index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Change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After Hours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SPY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457.23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-0.47%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-0.07%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QQQ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385.67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-1.11%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-0.19%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IWM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198.45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-0.49%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-0.17%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VIX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16.20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+8.0%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+0.62%</w:t>
            </w:r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Market Signals Section (Rows 11-18)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GMI Components (Left):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1902"/>
        <w:gridCol w:w="1902"/>
        <w:gridCol w:w="1902"/>
        <w:gridCol w:w="1902"/>
        <w:gridCol w:w="1902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Component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QQQ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SPY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IWM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Status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Short-term Trend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Below 50MA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Trend Momentum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Declining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Long-term Trend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Above 150MA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Price Momentum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Mixed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Total Score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2.3/4.0</w:t>
            </w:r>
          </w:p>
        </w:tc>
      </w:tr>
    </w:tbl>
    <w:p>
      <w:pPr>
        <w:spacing w:lineRule="auto"/>
      </w:pP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Breadth Indicators (Right):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2378"/>
        <w:gridCol w:w="2378"/>
        <w:gridCol w:w="2378"/>
        <w:gridCol w:w="2378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Indicator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Current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Previous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Status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NYSE A/D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1,247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1,523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Weak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New 52W Highs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43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67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Declining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Net New Highs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-84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-22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Negative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McClellan Osc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-45.6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-12.3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Deteriorating</w:t>
            </w:r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🔥 </w:t>
      </w:r>
      <w:r>
        <w:rPr>
          <w:rFonts w:eastAsia="inter" w:cs="inter" w:ascii="inter" w:hAnsi="inter"/>
          <w:b/>
          <w:color w:val="000000"/>
          <w:sz w:val="24"/>
        </w:rPr>
        <w:t xml:space="preserve">Sector Heatmap (Rows 19-25)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529138"/>
            <wp:effectExtent b="0" l="0" r="0" t="0"/>
            <wp:docPr id="3" name="image-11682bdefba04052b50777513c771f8af24ffb27.png"/>
            <a:graphic>
              <a:graphicData uri="http://schemas.openxmlformats.org/drawingml/2006/picture">
                <pic:pic>
                  <pic:nvPicPr>
                    <pic:cNvPr id="3" name="image-11682bdefba04052b50777513c771f8af24ffb27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291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Year-to-date financial dashboard in Excel showing key metrics, charts, and income statement with mock data for market overview.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1902"/>
        <w:gridCol w:w="1902"/>
        <w:gridCol w:w="1902"/>
        <w:gridCol w:w="1902"/>
        <w:gridCol w:w="1902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Sector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Change%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30D RS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Signal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Energy (XLE)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88.34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+2.4%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234.1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💪 STRONG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Technology (XLK)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178.45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+1.2%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112.5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💪 STRONG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Communications (XLC)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82.34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+0.8%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109.8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➡️ NEUTRAL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Utilities (XLU)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67.89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+1.1%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87.6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➡️ NEUTRAL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Financials (XLF)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38.67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-1.8%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45.6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🔻 WEAK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Materials (XLB)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89.12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-1.2%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34.5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🔻 WEAK</w:t>
            </w:r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📈 </w:t>
      </w:r>
      <w:r>
        <w:rPr>
          <w:rFonts w:eastAsia="inter" w:cs="inter" w:ascii="inter" w:hAnsi="inter"/>
          <w:b/>
          <w:color w:val="000000"/>
          <w:sz w:val="24"/>
        </w:rPr>
        <w:t xml:space="preserve">Top Movers Section (Rows 26-35)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Top Gainers: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1902"/>
        <w:gridCol w:w="1902"/>
        <w:gridCol w:w="1902"/>
        <w:gridCol w:w="1902"/>
        <w:gridCol w:w="1902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Symbol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Change%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Volume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AH Change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NVDA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134.67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+4.2%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45.2M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+0.5%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TSLA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241.23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+3.8%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38.7M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-0.2%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AMD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156.78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+3.1%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29.1M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+0.8%</w:t>
            </w:r>
          </w:p>
        </w:tc>
      </w:tr>
    </w:tbl>
    <w:p>
      <w:pPr>
        <w:spacing w:lineRule="auto"/>
      </w:pP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Top Losers:</w:t>
      </w:r>
    </w:p>
    <w:tbl>
      <w:tblPr>
        <w:tblStyle w:val="TableGrid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type="dxa" w:w="80"/>
          <w:left w:type="dxa" w:w="160"/>
          <w:bottom w:type="dxa" w:w="80"/>
          <w:right w:type="dxa" w:w="160"/>
        </w:tblCellMar>
      </w:tblPr>
      <w:tblGrid>
        <w:gridCol w:w="1902"/>
        <w:gridCol w:w="1902"/>
        <w:gridCol w:w="1902"/>
        <w:gridCol w:w="1902"/>
        <w:gridCol w:w="1902"/>
      </w:tblGrid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Symbol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Price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Change%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Volume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b/>
                <w:color w:val="000000"/>
                <w:sz w:val="17"/>
              </w:rPr>
              <w:t xml:space="preserve">AH Change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WMT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78.23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-2.8%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12.3M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-0.1%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JNJ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156.45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-2.1%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8.9M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+0.2%</w:t>
            </w:r>
          </w:p>
        </w:tc>
      </w:tr>
      <w:tr>
        <w:trPr>
          <w:cantSplit/>
        </w:trPr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PG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167.89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-1.9%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6.7M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</w:tcBorders>
          </w:tcPr>
          <w:p>
            <w:pPr>
              <w:spacing w:line="360" w:lineRule="auto"/>
            </w:pPr>
            <w:r>
              <w:rPr>
                <w:rFonts w:eastAsia="inter" w:cs="inter" w:ascii="inter" w:hAnsi="inter"/>
                <w:color w:val="000000"/>
                <w:sz w:val="17"/>
              </w:rPr>
              <w:t xml:space="preserve">-0.4%</w:t>
            </w:r>
          </w:p>
        </w:tc>
      </w:tr>
    </w:tbl>
    <w:p>
      <w:pPr>
        <w:spacing w:lineRule="auto"/>
      </w:pP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🎨 </w:t>
      </w:r>
      <w:r>
        <w:rPr>
          <w:rFonts w:eastAsia="inter" w:cs="inter" w:ascii="inter" w:hAnsi="inter"/>
          <w:b/>
          <w:color w:val="000000"/>
          <w:sz w:val="24"/>
        </w:rPr>
        <w:t xml:space="preserve">Professional Design Elements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Color Scheme: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Header</w:t>
      </w:r>
      <w:r>
        <w:rPr>
          <w:rFonts w:eastAsia="inter" w:cs="inter" w:ascii="inter" w:hAnsi="inter"/>
          <w:color w:val="000000"/>
          <w:sz w:val="21"/>
        </w:rPr>
        <w:t xml:space="preserve">: Dark Blue (#2C5282) with white text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Positive Values</w:t>
      </w:r>
      <w:r>
        <w:rPr>
          <w:rFonts w:eastAsia="inter" w:cs="inter" w:ascii="inter" w:hAnsi="inter"/>
          <w:color w:val="000000"/>
          <w:sz w:val="21"/>
        </w:rPr>
        <w:t xml:space="preserve">: Light Green (#E6FFFA) background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Negative Values</w:t>
      </w:r>
      <w:r>
        <w:rPr>
          <w:rFonts w:eastAsia="inter" w:cs="inter" w:ascii="inter" w:hAnsi="inter"/>
          <w:color w:val="000000"/>
          <w:sz w:val="21"/>
        </w:rPr>
        <w:t xml:space="preserve">: Light Red (#FFF5F5) background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Signal Indicators</w:t>
      </w:r>
      <w:r>
        <w:rPr>
          <w:rFonts w:eastAsia="inter" w:cs="inter" w:ascii="inter" w:hAnsi="inter"/>
          <w:color w:val="000000"/>
          <w:sz w:val="21"/>
        </w:rPr>
        <w:t xml:space="preserve">: 🟢🟡🔴 for instant visual feedback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Excel Formulas:</w:t>
      </w:r>
    </w:p>
    <w:p>
      <w:pPr>
        <w:pStyle w:val="SourceCode"/>
        <w:shd w:val="clear" w:fill="F8F8FA"/>
        <w:spacing w:line="336" w:lineRule="auto"/>
      </w:pP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Market 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Sign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al: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"🟢 BULLISH"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AND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C5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D5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&lt;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"🔴 BEARISH"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"🟡 MIXED"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))</w:t>
        <w:br/>
        <w:t xml:space="preserve"/>
        <w:br/>
        <w:t xml:space="preserve">GMI Sco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re: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(GMI_Score&gt;=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3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"🟢 GREEN"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(GMI_Score&lt;=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"🔴 RED"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"🟡 NEUTRAL"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))</w:t>
        <w:br/>
        <w:t xml:space="preserve"/>
        <w:br/>
        <w:t xml:space="preserve">Risk Lev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el: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 =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(VIX&gt;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20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"🔴 HIGH"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IF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(VIX&gt;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15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"🟡 MODERATE"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,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"🟢 LOW"</w:t>
      </w:r>
      <w:r>
        <w:rPr>
          <w:rStyle w:val="VerbatimChar"/>
          <w:rFonts w:eastAsia="ibm plex mono" w:cs="ibm plex mono" w:ascii="ibm plex mono" w:hAnsi="ibm plex mono"/>
          <w:color w:val="000000"/>
          <w:sz w:val="18"/>
        </w:rPr>
        <w:t xml:space="preserve">))</w:t>
        <w:br/>
        <w:t xml:space="preserve"/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📋 </w:t>
      </w:r>
      <w:r>
        <w:rPr>
          <w:rFonts w:eastAsia="inter" w:cs="inter" w:ascii="inter" w:hAnsi="inter"/>
          <w:b/>
          <w:color w:val="000000"/>
          <w:sz w:val="24"/>
        </w:rPr>
        <w:t xml:space="preserve">Complete Data Files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I've created 8 CSV files with mock data ready for Excel import: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🔧 </w:t>
      </w:r>
      <w:r>
        <w:rPr>
          <w:rFonts w:eastAsia="inter" w:cs="inter" w:ascii="inter" w:hAnsi="inter"/>
          <w:b/>
          <w:color w:val="000000"/>
          <w:sz w:val="24"/>
        </w:rPr>
        <w:t xml:space="preserve">Implementation Guide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🎯 </w:t>
      </w:r>
      <w:r>
        <w:rPr>
          <w:rFonts w:eastAsia="inter" w:cs="inter" w:ascii="inter" w:hAnsi="inter"/>
          <w:b/>
          <w:color w:val="000000"/>
          <w:sz w:val="24"/>
        </w:rPr>
        <w:t xml:space="preserve">Why This Design Works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Executive Focus</w:t>
      </w:r>
      <w:r>
        <w:rPr>
          <w:rFonts w:eastAsia="inter" w:cs="inter" w:ascii="inter" w:hAnsi="inter"/>
          <w:color w:val="000000"/>
          <w:sz w:val="21"/>
        </w:rPr>
        <w:t xml:space="preserve">: Key information in the top 10 rows for quick scanning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Institutional Standards</w:t>
      </w:r>
      <w:r>
        <w:rPr>
          <w:rFonts w:eastAsia="inter" w:cs="inter" w:ascii="inter" w:hAnsi="inter"/>
          <w:color w:val="000000"/>
          <w:sz w:val="21"/>
        </w:rPr>
        <w:t xml:space="preserve">: Uses GMI, breadth indicators, and sector rotation analysis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Visual Hierarchy</w:t>
      </w:r>
      <w:r>
        <w:rPr>
          <w:rFonts w:eastAsia="inter" w:cs="inter" w:ascii="inter" w:hAnsi="inter"/>
          <w:color w:val="000000"/>
          <w:sz w:val="21"/>
        </w:rPr>
        <w:t xml:space="preserve">: Color coding and layouts guide the eye to critical information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Scalable Architecture</w:t>
      </w:r>
      <w:r>
        <w:rPr>
          <w:rFonts w:eastAsia="inter" w:cs="inter" w:ascii="inter" w:hAnsi="inter"/>
          <w:color w:val="000000"/>
          <w:sz w:val="21"/>
        </w:rPr>
        <w:t xml:space="preserve">: Easily expandable with additional indicators or markets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Post-Close Optimization</w:t>
      </w:r>
      <w:r>
        <w:rPr>
          <w:rFonts w:eastAsia="inter" w:cs="inter" w:ascii="inter" w:hAnsi="inter"/>
          <w:color w:val="000000"/>
          <w:sz w:val="21"/>
        </w:rPr>
        <w:t xml:space="preserve">: Includes after-hours data and next-day preparation elements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This dashboard design combines the sophistication of institutional trading desks with Excel's accessibility, providing a comprehensive market overview that supports both strategic decision-making and tactical trading decisions after market close.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0" w:name="fn1"/>
    <w:bookmarkEnd w:id="0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Moving-Average-Cycles-Indicator-by-ChartingCycles-TradingView.html </w:t>
      </w:r>
    </w:p>
    <w:bookmarkStart w:id="1" w:name="fn2"/>
    <w:bookmarkEnd w:id="1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NASI-Indicator-by-Ollie_AllCaps-TradingView.html </w:t>
      </w:r>
    </w:p>
    <w:bookmarkStart w:id="2" w:name="fn3"/>
    <w:bookmarkEnd w:id="2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145a46ea-439e-40c2-b9ee-6bbb24edf4c2_1021x532.jpg </w:t>
      </w:r>
    </w:p>
    <w:bookmarkStart w:id="3" w:name="fn4"/>
    <w:bookmarkEnd w:id="3"/>
    <w:p>
      <w:pPr>
        <w:numPr>
          <w:ilvl w:val="0"/>
          <w:numId w:val="5"/>
        </w:numPr>
        <w:spacing w:line="360" w:after="210" w:lineRule="auto"/>
      </w:pPr>
      <w:hyperlink r:id="rId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https://leanexcelsolutions.com/trading-portfolio-dashboard-in-excel/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4" w:name="fn5"/>
    <w:bookmarkEnd w:id="4"/>
    <w:p>
      <w:pPr>
        <w:numPr>
          <w:ilvl w:val="0"/>
          <w:numId w:val="5"/>
        </w:numPr>
        <w:spacing w:line="360" w:after="210" w:lineRule="auto"/>
      </w:pPr>
      <w:hyperlink r:id="rId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https://www.rbcdirectinvesting.com/trading-tools-research/pre-market-after-hours-trading.html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5" w:name="fn6"/>
    <w:bookmarkEnd w:id="5"/>
    <w:p>
      <w:pPr>
        <w:numPr>
          <w:ilvl w:val="0"/>
          <w:numId w:val="5"/>
        </w:numPr>
        <w:spacing w:line="360" w:after="210" w:lineRule="auto"/>
      </w:pPr>
      <w:hyperlink r:id="rId1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https://www.saravalindustries.com/which-layout-is-right-for-your-trading-floor/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" w:name="fn7"/>
    <w:bookmarkEnd w:id="6"/>
    <w:p>
      <w:pPr>
        <w:numPr>
          <w:ilvl w:val="0"/>
          <w:numId w:val="5"/>
        </w:numPr>
        <w:spacing w:line="360" w:after="210" w:lineRule="auto"/>
      </w:pPr>
      <w:hyperlink r:id="rId1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https://templatelab.com/excel-dashboards/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" w:name="fn8"/>
    <w:bookmarkEnd w:id="7"/>
    <w:p>
      <w:pPr>
        <w:numPr>
          <w:ilvl w:val="0"/>
          <w:numId w:val="5"/>
        </w:numPr>
        <w:spacing w:line="360" w:after="210" w:lineRule="auto"/>
      </w:pPr>
      <w:hyperlink r:id="rId1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https://www.reddit.com/r/fidelityinvestments/comments/1e50j67/after_hours_trading_price_view_on_desktop/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" w:name="fn9"/>
    <w:bookmarkEnd w:id="8"/>
    <w:p>
      <w:pPr>
        <w:numPr>
          <w:ilvl w:val="0"/>
          <w:numId w:val="5"/>
        </w:numPr>
        <w:spacing w:line="360" w:after="210" w:lineRule="auto"/>
      </w:pPr>
      <w:hyperlink r:id="rId1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https://www.investopedia.com/articles/investing/022416/different-trading-desks-investment-bank.asp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9" w:name="fn10"/>
    <w:bookmarkEnd w:id="9"/>
    <w:p>
      <w:pPr>
        <w:numPr>
          <w:ilvl w:val="0"/>
          <w:numId w:val="5"/>
        </w:numPr>
        <w:spacing w:line="360" w:after="210" w:lineRule="auto"/>
      </w:pPr>
      <w:hyperlink r:id="rId1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https://support.microsoft.com/en-au/office/create-and-share-a-dashboard-with-excel-and-microsoft-groups-ad92a34d-38d0-4fdd-b8b1-58379aae746e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0" w:name="fn11"/>
    <w:bookmarkEnd w:id="10"/>
    <w:p>
      <w:pPr>
        <w:numPr>
          <w:ilvl w:val="0"/>
          <w:numId w:val="5"/>
        </w:numPr>
        <w:spacing w:line="360" w:after="210" w:lineRule="auto"/>
      </w:pPr>
      <w:hyperlink r:id="rId1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https://www.nasdaq.com/market-activity/after-hours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1" w:name="fn12"/>
    <w:bookmarkEnd w:id="11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MARKET_PULSE_RESEARCH_DOCUMENTATION.md </w:t>
      </w:r>
    </w:p>
    <w:bookmarkStart w:id="12" w:name="fn13"/>
    <w:bookmarkEnd w:id="12"/>
    <w:p>
      <w:pPr>
        <w:numPr>
          <w:ilvl w:val="0"/>
          <w:numId w:val="5"/>
        </w:numPr>
        <w:spacing w:line="360" w:after="210" w:lineRule="auto"/>
      </w:pPr>
      <w:hyperlink r:id="rId1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https://www.investglass.com/setting-up-a-trading-desk-from-interest-rate-swaps-to-foreign-exchange-trading-desks/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3" w:name="fn14"/>
    <w:bookmarkEnd w:id="13"/>
    <w:p>
      <w:pPr>
        <w:numPr>
          <w:ilvl w:val="0"/>
          <w:numId w:val="5"/>
        </w:numPr>
        <w:spacing w:line="360" w:after="210" w:lineRule="auto"/>
      </w:pPr>
      <w:hyperlink r:id="rId1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https://www.thesmallman.com/dashboards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4" w:name="fn15"/>
    <w:bookmarkEnd w:id="14"/>
    <w:p>
      <w:pPr>
        <w:numPr>
          <w:ilvl w:val="0"/>
          <w:numId w:val="5"/>
        </w:numPr>
        <w:spacing w:line="360" w:after="210" w:lineRule="auto"/>
      </w:pPr>
      <w:hyperlink r:id="rId1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https://www.barchart.com/stocks/post-market-trading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5" w:name="fn16"/>
    <w:bookmarkEnd w:id="15"/>
    <w:p>
      <w:pPr>
        <w:numPr>
          <w:ilvl w:val="0"/>
          <w:numId w:val="5"/>
        </w:numPr>
        <w:spacing w:line="360" w:after="210" w:lineRule="auto"/>
      </w:pPr>
      <w:hyperlink r:id="rId1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https://tickeron.com/trading-investing-101/what-is-the-definition-of-a-trading-desk/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6" w:name="fn17"/>
    <w:bookmarkEnd w:id="16"/>
    <w:p>
      <w:pPr>
        <w:numPr>
          <w:ilvl w:val="0"/>
          <w:numId w:val="5"/>
        </w:numPr>
        <w:spacing w:line="360" w:after="210" w:lineRule="auto"/>
      </w:pPr>
      <w:hyperlink r:id="rId2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https://www.oviond.com/the-best-excel-marketing-dashboard-templates/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7" w:name="fn18"/>
    <w:bookmarkEnd w:id="17"/>
    <w:p>
      <w:pPr>
        <w:numPr>
          <w:ilvl w:val="0"/>
          <w:numId w:val="5"/>
        </w:numPr>
        <w:spacing w:line="360" w:after="210" w:lineRule="auto"/>
      </w:pPr>
      <w:hyperlink r:id="rId2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https://marketchameleon.com/Reports/AfterHoursTrading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8" w:name="fn19"/>
    <w:bookmarkEnd w:id="18"/>
    <w:p>
      <w:pPr>
        <w:numPr>
          <w:ilvl w:val="0"/>
          <w:numId w:val="5"/>
        </w:numPr>
        <w:spacing w:line="360" w:after="210" w:lineRule="auto"/>
      </w:pPr>
      <w:hyperlink r:id="rId2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https://www.sbfi-financial.com/why-a-trading-desk/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19" w:name="fn20"/>
    <w:bookmarkEnd w:id="19"/>
    <w:p>
      <w:pPr>
        <w:numPr>
          <w:ilvl w:val="0"/>
          <w:numId w:val="5"/>
        </w:numPr>
        <w:spacing w:line="360" w:after="210" w:lineRule="auto"/>
      </w:pPr>
      <w:hyperlink r:id="rId2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https://chandoo.org/wp/excel-dashboards/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0" w:name="fn21"/>
    <w:bookmarkEnd w:id="20"/>
    <w:p>
      <w:pPr>
        <w:numPr>
          <w:ilvl w:val="0"/>
          <w:numId w:val="5"/>
        </w:numPr>
        <w:spacing w:line="360" w:after="210" w:lineRule="auto"/>
      </w:pPr>
      <w:hyperlink r:id="rId2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https://stockanalysis.com/markets/afterhours/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1" w:name="fn22"/>
    <w:bookmarkEnd w:id="21"/>
    <w:p>
      <w:pPr>
        <w:numPr>
          <w:ilvl w:val="0"/>
          <w:numId w:val="5"/>
        </w:numPr>
        <w:spacing w:line="360" w:after="210" w:lineRule="auto"/>
      </w:pPr>
      <w:hyperlink r:id="rId2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https://ppl-ai-code-interpreter-files.s3.amazonaws.com/web/direct-files/f3629e3fac2ae51debfff14627fc0b26/27337857-1963-455c-acc8-f5391d01c29b/85f89a74.csv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2" w:name="fn23"/>
    <w:bookmarkEnd w:id="22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Chilllax-Moving-Averages-with-Qullamaggie-colors-Indicator-by-chilllaxtrader-TradingView.html </w:t>
      </w:r>
    </w:p>
    <w:bookmarkStart w:id="23" w:name="fn24"/>
    <w:bookmarkEnd w:id="23"/>
    <w:p>
      <w:pPr>
        <w:numPr>
          <w:ilvl w:val="0"/>
          <w:numId w:val="5"/>
        </w:numPr>
        <w:spacing w:line="360" w:after="210" w:lineRule="auto"/>
      </w:pPr>
      <w:hyperlink r:id="rId2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https://ppl-ai-code-interpreter-files.s3.amazonaws.com/web/direct-files/f3629e3fac2ae51debfff14627fc0b26/27337857-1963-455c-acc8-f5391d01c29b/c43cc7ef.csv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4" w:name="fn25"/>
    <w:bookmarkEnd w:id="24"/>
    <w:p>
      <w:pPr>
        <w:numPr>
          <w:ilvl w:val="0"/>
          <w:numId w:val="5"/>
        </w:numPr>
        <w:spacing w:line="360" w:after="210" w:lineRule="auto"/>
      </w:pPr>
      <w:hyperlink r:id="rId2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https://ppl-ai-code-interpreter-files.s3.amazonaws.com/web/direct-files/f3629e3fac2ae51debfff14627fc0b26/27337857-1963-455c-acc8-f5391d01c29b/8835383c.csv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5" w:name="fn26"/>
    <w:bookmarkEnd w:id="25"/>
    <w:p>
      <w:pPr>
        <w:numPr>
          <w:ilvl w:val="0"/>
          <w:numId w:val="5"/>
        </w:numPr>
        <w:spacing w:line="360" w:after="210" w:lineRule="auto"/>
      </w:pPr>
      <w:hyperlink r:id="rId2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https://ppl-ai-code-interpreter-files.s3.amazonaws.com/web/direct-files/f3629e3fac2ae51debfff14627fc0b26/27337857-1963-455c-acc8-f5391d01c29b/307c700c.csv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6" w:name="fn27"/>
    <w:bookmarkEnd w:id="26"/>
    <w:p>
      <w:pPr>
        <w:numPr>
          <w:ilvl w:val="0"/>
          <w:numId w:val="5"/>
        </w:numPr>
        <w:spacing w:line="360" w:after="210" w:lineRule="auto"/>
      </w:pPr>
      <w:hyperlink r:id="rId2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https://ppl-ai-code-interpreter-files.s3.amazonaws.com/web/direct-files/f3629e3fac2ae51debfff14627fc0b26/27337857-1963-455c-acc8-f5391d01c29b/c11e1220.csv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7" w:name="fn28"/>
    <w:bookmarkEnd w:id="27"/>
    <w:p>
      <w:pPr>
        <w:numPr>
          <w:ilvl w:val="0"/>
          <w:numId w:val="5"/>
        </w:numPr>
        <w:spacing w:line="360" w:after="210" w:lineRule="auto"/>
      </w:pPr>
      <w:hyperlink r:id="rId3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https://ppl-ai-code-interpreter-files.s3.amazonaws.com/web/direct-files/f3629e3fac2ae51debfff14627fc0b26/27337857-1963-455c-acc8-f5391d01c29b/ab3552f1.csv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8" w:name="fn29"/>
    <w:bookmarkEnd w:id="28"/>
    <w:p>
      <w:pPr>
        <w:numPr>
          <w:ilvl w:val="0"/>
          <w:numId w:val="5"/>
        </w:numPr>
        <w:spacing w:line="360" w:after="210" w:lineRule="auto"/>
      </w:pPr>
      <w:hyperlink r:id="rId3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https://ppl-ai-code-interpreter-files.s3.amazonaws.com/web/direct-files/f3629e3fac2ae51debfff14627fc0b26/27337857-1963-455c-acc8-f5391d01c29b/04b4a04b.csv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9" w:name="fn30"/>
    <w:bookmarkEnd w:id="29"/>
    <w:p>
      <w:pPr>
        <w:numPr>
          <w:ilvl w:val="0"/>
          <w:numId w:val="5"/>
        </w:numPr>
        <w:spacing w:line="360" w:after="210" w:lineRule="auto"/>
      </w:pPr>
      <w:hyperlink r:id="rId3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https://ppl-ai-code-interpreter-files.s3.amazonaws.com/web/direct-files/f3629e3fac2ae51debfff14627fc0b26/27337857-1963-455c-acc8-f5391d01c29b/9ea23ad3.csv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0" w:name="fn31"/>
    <w:bookmarkEnd w:id="30"/>
    <w:p>
      <w:pPr>
        <w:numPr>
          <w:ilvl w:val="0"/>
          <w:numId w:val="5"/>
        </w:numPr>
        <w:spacing w:line="360" w:after="210" w:lineRule="auto"/>
      </w:pPr>
      <w:hyperlink r:id="rId3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https://ppl-ai-code-interpreter-files.s3.amazonaws.com/web/direct-files/f3629e3fac2ae51debfff14627fc0b26/45654ccb-d567-4dc8-8702-9aea855a083a/d55a250d.md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31" w:name="fn32"/>
    <w:bookmarkEnd w:id="31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About-the-General-Market-Index-GMI-_-Wishing-Wealth-Blog.html </w:t>
      </w:r>
    </w:p>
    <w:bookmarkStart w:id="32" w:name="fn33"/>
    <w:bookmarkEnd w:id="32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Copy-of-Daily-Economic-Numbers.xlsx </w:t>
      </w:r>
    </w:p>
    <w:bookmarkStart w:id="33" w:name="fn34"/>
    <w:bookmarkEnd w:id="33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Net-New-Highs_Lows-With-visible-code-Indicator-by-Fred6724-TradingView.html </w:t>
      </w:r>
    </w:p>
    <w:bookmarkStart w:id="34" w:name="fn35"/>
    <w:bookmarkEnd w:id="34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1-8_18_25-Solar-Strength-Energy-Awakens.html </w:t>
      </w:r>
    </w:p>
    <w:bookmarkStart w:id="35" w:name="fn36"/>
    <w:bookmarkEnd w:id="35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to_do </w:t>
      </w:r>
    </w:p>
    <w:bookmarkStart w:id="36" w:name="fn37"/>
    <w:bookmarkEnd w:id="36"/>
    <w:p>
      <w:pPr>
        <w:numPr>
          <w:ilvl w:val="0"/>
          <w:numId w:val="5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gmi_calculator.py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  <w:font w:name="ibm plex mono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4">
    <w:multiLevelType w:val="hybridMultilevel"/>
  </w:abstractNum>
  <w:abstractNum w:abstractNumId="5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80" w:type="dxa"/>
        <w:left w:w="160" w:type="dxa"/>
        <w:bottom w:w="80" w:type="dxa"/>
        <w:right w:w="160" w:type="dxa"/>
      </w:tblCellMar>
    </w:tblPr>
  </w:style>
  <w:style w:type="table" w:styleId="TableGrid">
    <w:name w:val="Normal Grid"/>
    <w:basedOn w:val="TableNormal"/>
    <w:uiPriority w:val="39"/>
    <w:pPr>
      <w:spacing w:after="0" w:line="240" w:lineRule="auto"/>
    </w:pPr>
    <w:tblPr>
      <w:tblInd w:w="0" w:type="dxa"/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9bfe6b02ad6e83226c3cfba4b7d91fa59e5be492.png" TargetMode="Internal"/><Relationship Id="rId6" Type="http://schemas.openxmlformats.org/officeDocument/2006/relationships/image" Target="media/image-55f452fbfaddc150787ffc174786bb103fa9e607.png" TargetMode="Internal"/><Relationship Id="rId7" Type="http://schemas.openxmlformats.org/officeDocument/2006/relationships/image" Target="media/image-11682bdefba04052b50777513c771f8af24ffb27.png" TargetMode="Internal"/><Relationship Id="rId8" Type="http://schemas.openxmlformats.org/officeDocument/2006/relationships/hyperlink" Target="https://leanexcelsolutions.com/trading-portfolio-dashboard-in-excel/" TargetMode="External"/><Relationship Id="rId9" Type="http://schemas.openxmlformats.org/officeDocument/2006/relationships/hyperlink" Target="https://www.rbcdirectinvesting.com/trading-tools-research/pre-market-after-hours-trading.html" TargetMode="External"/><Relationship Id="rId10" Type="http://schemas.openxmlformats.org/officeDocument/2006/relationships/hyperlink" Target="https://www.saravalindustries.com/which-layout-is-right-for-your-trading-floor/" TargetMode="External"/><Relationship Id="rId11" Type="http://schemas.openxmlformats.org/officeDocument/2006/relationships/hyperlink" Target="https://templatelab.com/excel-dashboards/" TargetMode="External"/><Relationship Id="rId12" Type="http://schemas.openxmlformats.org/officeDocument/2006/relationships/hyperlink" Target="https://www.reddit.com/r/fidelityinvestments/comments/1e50j67/after_hours_trading_price_view_on_desktop/" TargetMode="External"/><Relationship Id="rId13" Type="http://schemas.openxmlformats.org/officeDocument/2006/relationships/hyperlink" Target="https://www.investopedia.com/articles/investing/022416/different-trading-desks-investment-bank.asp" TargetMode="External"/><Relationship Id="rId14" Type="http://schemas.openxmlformats.org/officeDocument/2006/relationships/hyperlink" Target="https://support.microsoft.com/en-au/office/create-and-share-a-dashboard-with-excel-and-microsoft-groups-ad92a34d-38d0-4fdd-b8b1-58379aae746e" TargetMode="External"/><Relationship Id="rId15" Type="http://schemas.openxmlformats.org/officeDocument/2006/relationships/hyperlink" Target="https://www.nasdaq.com/market-activity/after-hours" TargetMode="External"/><Relationship Id="rId16" Type="http://schemas.openxmlformats.org/officeDocument/2006/relationships/hyperlink" Target="https://www.investglass.com/setting-up-a-trading-desk-from-interest-rate-swaps-to-foreign-exchange-trading-desks/" TargetMode="External"/><Relationship Id="rId17" Type="http://schemas.openxmlformats.org/officeDocument/2006/relationships/hyperlink" Target="https://www.thesmallman.com/dashboards" TargetMode="External"/><Relationship Id="rId18" Type="http://schemas.openxmlformats.org/officeDocument/2006/relationships/hyperlink" Target="https://www.barchart.com/stocks/post-market-trading" TargetMode="External"/><Relationship Id="rId19" Type="http://schemas.openxmlformats.org/officeDocument/2006/relationships/hyperlink" Target="https://tickeron.com/trading-investing-101/what-is-the-definition-of-a-trading-desk/" TargetMode="External"/><Relationship Id="rId20" Type="http://schemas.openxmlformats.org/officeDocument/2006/relationships/hyperlink" Target="https://www.oviond.com/the-best-excel-marketing-dashboard-templates/" TargetMode="External"/><Relationship Id="rId21" Type="http://schemas.openxmlformats.org/officeDocument/2006/relationships/hyperlink" Target="https://marketchameleon.com/Reports/AfterHoursTrading" TargetMode="External"/><Relationship Id="rId22" Type="http://schemas.openxmlformats.org/officeDocument/2006/relationships/hyperlink" Target="https://www.sbfi-financial.com/why-a-trading-desk/" TargetMode="External"/><Relationship Id="rId23" Type="http://schemas.openxmlformats.org/officeDocument/2006/relationships/hyperlink" Target="https://chandoo.org/wp/excel-dashboards/" TargetMode="External"/><Relationship Id="rId24" Type="http://schemas.openxmlformats.org/officeDocument/2006/relationships/hyperlink" Target="https://stockanalysis.com/markets/afterhours/" TargetMode="External"/><Relationship Id="rId25" Type="http://schemas.openxmlformats.org/officeDocument/2006/relationships/hyperlink" Target="https://ppl-ai-code-interpreter-files.s3.amazonaws.com/web/direct-files/f3629e3fac2ae51debfff14627fc0b26/27337857-1963-455c-acc8-f5391d01c29b/85f89a74.csv" TargetMode="External"/><Relationship Id="rId26" Type="http://schemas.openxmlformats.org/officeDocument/2006/relationships/hyperlink" Target="https://ppl-ai-code-interpreter-files.s3.amazonaws.com/web/direct-files/f3629e3fac2ae51debfff14627fc0b26/27337857-1963-455c-acc8-f5391d01c29b/c43cc7ef.csv" TargetMode="External"/><Relationship Id="rId27" Type="http://schemas.openxmlformats.org/officeDocument/2006/relationships/hyperlink" Target="https://ppl-ai-code-interpreter-files.s3.amazonaws.com/web/direct-files/f3629e3fac2ae51debfff14627fc0b26/27337857-1963-455c-acc8-f5391d01c29b/8835383c.csv" TargetMode="External"/><Relationship Id="rId28" Type="http://schemas.openxmlformats.org/officeDocument/2006/relationships/hyperlink" Target="https://ppl-ai-code-interpreter-files.s3.amazonaws.com/web/direct-files/f3629e3fac2ae51debfff14627fc0b26/27337857-1963-455c-acc8-f5391d01c29b/307c700c.csv" TargetMode="External"/><Relationship Id="rId29" Type="http://schemas.openxmlformats.org/officeDocument/2006/relationships/hyperlink" Target="https://ppl-ai-code-interpreter-files.s3.amazonaws.com/web/direct-files/f3629e3fac2ae51debfff14627fc0b26/27337857-1963-455c-acc8-f5391d01c29b/c11e1220.csv" TargetMode="External"/><Relationship Id="rId30" Type="http://schemas.openxmlformats.org/officeDocument/2006/relationships/hyperlink" Target="https://ppl-ai-code-interpreter-files.s3.amazonaws.com/web/direct-files/f3629e3fac2ae51debfff14627fc0b26/27337857-1963-455c-acc8-f5391d01c29b/ab3552f1.csv" TargetMode="External"/><Relationship Id="rId31" Type="http://schemas.openxmlformats.org/officeDocument/2006/relationships/hyperlink" Target="https://ppl-ai-code-interpreter-files.s3.amazonaws.com/web/direct-files/f3629e3fac2ae51debfff14627fc0b26/27337857-1963-455c-acc8-f5391d01c29b/04b4a04b.csv" TargetMode="External"/><Relationship Id="rId32" Type="http://schemas.openxmlformats.org/officeDocument/2006/relationships/hyperlink" Target="https://ppl-ai-code-interpreter-files.s3.amazonaws.com/web/direct-files/f3629e3fac2ae51debfff14627fc0b26/27337857-1963-455c-acc8-f5391d01c29b/9ea23ad3.csv" TargetMode="External"/><Relationship Id="rId33" Type="http://schemas.openxmlformats.org/officeDocument/2006/relationships/hyperlink" Target="https://ppl-ai-code-interpreter-files.s3.amazonaws.com/web/direct-files/f3629e3fac2ae51debfff14627fc0b26/45654ccb-d567-4dc8-8702-9aea855a083a/d55a250d.md" TargetMode="Ex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2025-09-01T23:03:50.936Z</dcterms:created>
  <dcterms:modified xsi:type="dcterms:W3CDTF">2025-09-01T23:03:50.936Z</dcterms:modified>
</cp:coreProperties>
</file>