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svg" ContentType="image/svg+xml"/>
  <Default Extension="xml" ContentType="application/xml"/>
  <Default Extension="jpg" ContentType="application/octet-stream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m="http://schemas.openxmlformats.org/officeDocument/2006/math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 xmlns:a14="http://schemas.microsoft.com/office/drawing/2010/main" xmlns:asvg="http://schemas.microsoft.com/office/drawing/2016/SVG/main">
  <w:body>
    <w:p>
      <w:pPr>
        <w:spacing w:line="360" w:after="0" w:lineRule="auto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2420112" cy="609600"/>
            <wp:effectExtent b="0" l="0" r="0" t="0"/>
            <wp:docPr id="1" name="image-2ac784770a0e997443997baace6a4c0f53383257.png"/>
            <a:graphic>
              <a:graphicData uri="http://schemas.openxmlformats.org/drawingml/2006/picture">
                <pic:pic>
                  <pic:nvPicPr>
                    <pic:cNvPr id="1" name="image-2ac784770a0e997443997baace6a4c0f53383257.png" descr=""/>
                    <pic:cNvPicPr/>
                  </pic:nvPicPr>
                  <pic:blipFill>
                    <a:blip r:embed="rId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0112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0" w:before="157.5" w:after="157.5" w:lineRule="auto"/>
        <w:jc w:val="left"/>
      </w:pPr>
      <w:r>
        <w:rPr>
          <w:rFonts w:eastAsia="inter" w:cs="inter" w:ascii="inter" w:hAnsi="inter"/>
          <w:b/>
          <w:color w:val="000000"/>
          <w:sz w:val="39"/>
        </w:rPr>
        <w:t xml:space="preserve">Comprehensive Relative Strength Analysis &amp; Market Intelligence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I've processed your RS data and created multiple visualizations and analytical frameworks to understand current market dynamics, leadership patterns, and trading opportunities.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Key Visualizations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2" name="image-589c5e6d84af1ac643d0036a46f0f40fdcf0397b.png"/>
            <a:graphic>
              <a:graphicData uri="http://schemas.openxmlformats.org/drawingml/2006/picture">
                <pic:pic>
                  <pic:nvPicPr>
                    <pic:cNvPr id="2" name="image-589c5e6d84af1ac643d0036a46f0f40fdcf0397b.png" descr=""/>
                    <pic:cNvPicPr/>
                  </pic:nvPicPr>
                  <pic:blipFill>
                    <a:blip r:embed="rId6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Stock RS Percentile Heatmap - Multi-Timeframe Analysis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This </w:t>
      </w:r>
      <w:r>
        <w:rPr>
          <w:rFonts w:eastAsia="inter" w:cs="inter" w:ascii="inter" w:hAnsi="inter"/>
          <w:b/>
          <w:color w:val="000000"/>
        </w:rPr>
        <w:t xml:space="preserve">Multi-Timeframe RS Heatmap</w:t>
      </w:r>
      <w:r>
        <w:rPr>
          <w:rFonts w:eastAsia="inter" w:cs="inter" w:ascii="inter" w:hAnsi="inter"/>
          <w:color w:val="000000"/>
        </w:rPr>
        <w:t xml:space="preserve"> reveals fascinating momentum patterns. </w:t>
      </w:r>
      <w:r>
        <w:rPr>
          <w:rFonts w:eastAsia="inter" w:cs="inter" w:ascii="inter" w:hAnsi="inter"/>
          <w:b/>
          <w:color w:val="000000"/>
        </w:rPr>
        <w:t xml:space="preserve">GOOGL and GOOG show consistent strength</w:t>
      </w:r>
      <w:r>
        <w:rPr>
          <w:rFonts w:eastAsia="inter" w:cs="inter" w:ascii="inter" w:hAnsi="inter"/>
          <w:color w:val="000000"/>
        </w:rPr>
        <w:t xml:space="preserve"> across most timeframes, while </w:t>
      </w:r>
      <w:r>
        <w:rPr>
          <w:rFonts w:eastAsia="inter" w:cs="inter" w:ascii="inter" w:hAnsi="inter"/>
          <w:b/>
          <w:color w:val="000000"/>
        </w:rPr>
        <w:t xml:space="preserve">WMT demonstrates extreme short-term leadership</w:t>
      </w:r>
      <w:r>
        <w:rPr>
          <w:rFonts w:eastAsia="inter" w:cs="inter" w:ascii="inter" w:hAnsi="inter"/>
          <w:color w:val="000000"/>
        </w:rPr>
        <w:t xml:space="preserve"> (99th percentile) but weakness in longer timeframes, suggesting a potential momentum fade.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3" name="image-00bd26daa83960fb052d2a2faf034d8125119f26.png"/>
            <a:graphic>
              <a:graphicData uri="http://schemas.openxmlformats.org/drawingml/2006/picture">
                <pic:pic>
                  <pic:nvPicPr>
                    <pic:cNvPr id="3" name="image-00bd26daa83960fb052d2a2faf034d8125119f26.png" descr=""/>
                    <pic:cNvPicPr/>
                  </pic:nvPicPr>
                  <pic:blipFill>
                    <a:blip r:embed="rId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Momentum vs Value Analysis - Short-term vs Long-term RS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</w:t>
      </w:r>
      <w:r>
        <w:rPr>
          <w:rFonts w:eastAsia="inter" w:cs="inter" w:ascii="inter" w:hAnsi="inter"/>
          <w:b/>
          <w:color w:val="000000"/>
        </w:rPr>
        <w:t xml:space="preserve">Momentum vs Value scatter plot</w:t>
      </w:r>
      <w:r>
        <w:rPr>
          <w:rFonts w:eastAsia="inter" w:cs="inter" w:ascii="inter" w:hAnsi="inter"/>
          <w:color w:val="000000"/>
        </w:rPr>
        <w:t xml:space="preserve"> clearly categorizes stocks into actionable trading groups. </w:t>
      </w:r>
      <w:r>
        <w:rPr>
          <w:rFonts w:eastAsia="inter" w:cs="inter" w:ascii="inter" w:hAnsi="inter"/>
          <w:b/>
          <w:color w:val="000000"/>
        </w:rPr>
        <w:t xml:space="preserve">Momentum leaders</w:t>
      </w:r>
      <w:r>
        <w:rPr>
          <w:rFonts w:eastAsia="inter" w:cs="inter" w:ascii="inter" w:hAnsi="inter"/>
          <w:color w:val="000000"/>
        </w:rPr>
        <w:t xml:space="preserve"> (below the line) like GOOGL, AAPL, and LLY show strong short-term performance exceeding long-term trends, while </w:t>
      </w:r>
      <w:r>
        <w:rPr>
          <w:rFonts w:eastAsia="inter" w:cs="inter" w:ascii="inter" w:hAnsi="inter"/>
          <w:b/>
          <w:color w:val="000000"/>
        </w:rPr>
        <w:t xml:space="preserve">value turnarounds</w:t>
      </w:r>
      <w:r>
        <w:rPr>
          <w:rFonts w:eastAsia="inter" w:cs="inter" w:ascii="inter" w:hAnsi="inter"/>
          <w:color w:val="000000"/>
        </w:rPr>
        <w:t xml:space="preserve"> (above the line) like ORCL, AVGO, and NFLX display strong long-term RS with recent short-term weakness.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4" name="image-618975cb7daa6b3d726a2f5a0f7063b3f99ad210.png"/>
            <a:graphic>
              <a:graphicData uri="http://schemas.openxmlformats.org/drawingml/2006/picture">
                <pic:pic>
                  <pic:nvPicPr>
                    <pic:cNvPr id="4" name="image-618975cb7daa6b3d726a2f5a0f7063b3f99ad210.png" descr=""/>
                    <pic:cNvPicPr/>
                  </pic:nvPicPr>
                  <pic:blipFill>
                    <a:blip r:embed="rId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Sector RS Performance Radar - Multi-Timeframe Comparison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</w:t>
      </w:r>
      <w:r>
        <w:rPr>
          <w:rFonts w:eastAsia="inter" w:cs="inter" w:ascii="inter" w:hAnsi="inter"/>
          <w:b/>
          <w:color w:val="000000"/>
        </w:rPr>
        <w:t xml:space="preserve">Sector Radar Chart</w:t>
      </w:r>
      <w:r>
        <w:rPr>
          <w:rFonts w:eastAsia="inter" w:cs="inter" w:ascii="inter" w:hAnsi="inter"/>
          <w:color w:val="000000"/>
        </w:rPr>
        <w:t xml:space="preserve"> highlights a critical </w:t>
      </w:r>
      <w:r>
        <w:rPr>
          <w:rFonts w:eastAsia="inter" w:cs="inter" w:ascii="inter" w:hAnsi="inter"/>
          <w:b/>
          <w:color w:val="000000"/>
        </w:rPr>
        <w:t xml:space="preserve">sector rotation pattern</w:t>
      </w:r>
      <w:r>
        <w:rPr>
          <w:rFonts w:eastAsia="inter" w:cs="inter" w:ascii="inter" w:hAnsi="inter"/>
          <w:color w:val="000000"/>
        </w:rPr>
        <w:t xml:space="preserve"> - </w:t>
      </w:r>
      <w:r>
        <w:rPr>
          <w:rFonts w:eastAsia="inter" w:cs="inter" w:ascii="inter" w:hAnsi="inter"/>
          <w:b/>
          <w:color w:val="000000"/>
        </w:rPr>
        <w:t xml:space="preserve">Finance dominates short-term timeframes</w:t>
      </w:r>
      <w:r>
        <w:rPr>
          <w:rFonts w:eastAsia="inter" w:cs="inter" w:ascii="inter" w:hAnsi="inter"/>
          <w:color w:val="000000"/>
        </w:rPr>
        <w:t xml:space="preserve"> (99th percentile across 1D, 7D, 22D) while </w:t>
      </w:r>
      <w:r>
        <w:rPr>
          <w:rFonts w:eastAsia="inter" w:cs="inter" w:ascii="inter" w:hAnsi="inter"/>
          <w:b/>
          <w:color w:val="000000"/>
        </w:rPr>
        <w:t xml:space="preserve">Electronic Technology shows exceptional long-term strength</w:t>
      </w:r>
      <w:r>
        <w:rPr>
          <w:rFonts w:eastAsia="inter" w:cs="inter" w:ascii="inter" w:hAnsi="inter"/>
          <w:color w:val="000000"/>
        </w:rPr>
        <w:t xml:space="preserve"> (99th percentile at 66D) despite current weakness.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5" name="image-01d906ab643fd818a2a9195145df4e10042fd809.png"/>
            <a:graphic>
              <a:graphicData uri="http://schemas.openxmlformats.org/drawingml/2006/picture">
                <pic:pic>
                  <pic:nvPicPr>
                    <pic:cNvPr id="5" name="image-01d906ab643fd818a2a9195145df4e10042fd809.png" descr=""/>
                    <pic:cNvPicPr/>
                  </pic:nvPicPr>
                  <pic:blipFill>
                    <a:blip r:embed="rId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Top 10 Stock Leaders by Current RS Percentile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This </w:t>
      </w:r>
      <w:r>
        <w:rPr>
          <w:rFonts w:eastAsia="inter" w:cs="inter" w:ascii="inter" w:hAnsi="inter"/>
          <w:b/>
          <w:color w:val="000000"/>
        </w:rPr>
        <w:t xml:space="preserve">RS Leadership ranking</w:t>
      </w:r>
      <w:r>
        <w:rPr>
          <w:rFonts w:eastAsia="inter" w:cs="inter" w:ascii="inter" w:hAnsi="inter"/>
          <w:color w:val="000000"/>
        </w:rPr>
        <w:t xml:space="preserve"> shows current market structure with </w:t>
      </w:r>
      <w:r>
        <w:rPr>
          <w:rFonts w:eastAsia="inter" w:cs="inter" w:ascii="inter" w:hAnsi="inter"/>
          <w:b/>
          <w:color w:val="000000"/>
        </w:rPr>
        <w:t xml:space="preserve">only 2 elite performers</w:t>
      </w:r>
      <w:r>
        <w:rPr>
          <w:rFonts w:eastAsia="inter" w:cs="inter" w:ascii="inter" w:hAnsi="inter"/>
          <w:color w:val="000000"/>
        </w:rPr>
        <w:t xml:space="preserve"> (90%+ RS), indicating </w:t>
      </w:r>
      <w:r>
        <w:rPr>
          <w:rFonts w:eastAsia="inter" w:cs="inter" w:ascii="inter" w:hAnsi="inter"/>
          <w:b/>
          <w:color w:val="000000"/>
        </w:rPr>
        <w:t xml:space="preserve">narrow leadership</w:t>
      </w:r>
      <w:r>
        <w:rPr>
          <w:rFonts w:eastAsia="inter" w:cs="inter" w:ascii="inter" w:hAnsi="inter"/>
          <w:color w:val="000000"/>
        </w:rPr>
        <w:t xml:space="preserve"> - a higher risk environment requiring careful stock selection.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6" name="image-6495189061598c415724112dc779b72566ada9e5.png"/>
            <a:graphic>
              <a:graphicData uri="http://schemas.openxmlformats.org/drawingml/2006/picture">
                <pic:pic>
                  <pic:nvPicPr>
                    <pic:cNvPr id="6" name="image-6495189061598c415724112dc779b72566ada9e5.png" descr=""/>
                    <pic:cNvPicPr/>
                  </pic:nvPicPr>
                  <pic:blipFill>
                    <a:blip r:embed="rId1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Weekly vs Monthly Momentum Analysis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</w:t>
      </w:r>
      <w:r>
        <w:rPr>
          <w:rFonts w:eastAsia="inter" w:cs="inter" w:ascii="inter" w:hAnsi="inter"/>
          <w:b/>
          <w:color w:val="000000"/>
        </w:rPr>
        <w:t xml:space="preserve">Weekly vs Monthly Momentum Analysis</w:t>
      </w:r>
      <w:r>
        <w:rPr>
          <w:rFonts w:eastAsia="inter" w:cs="inter" w:ascii="inter" w:hAnsi="inter"/>
          <w:color w:val="000000"/>
        </w:rPr>
        <w:t xml:space="preserve"> identifies </w:t>
      </w:r>
      <w:r>
        <w:rPr>
          <w:rFonts w:eastAsia="inter" w:cs="inter" w:ascii="inter" w:hAnsi="inter"/>
          <w:b/>
          <w:color w:val="000000"/>
        </w:rPr>
        <w:t xml:space="preserve">recent acceleration</w:t>
      </w:r>
      <w:r>
        <w:rPr>
          <w:rFonts w:eastAsia="inter" w:cs="inter" w:ascii="inter" w:hAnsi="inter"/>
          <w:color w:val="000000"/>
        </w:rPr>
        <w:t xml:space="preserve"> in NFLX (+43%), AVGO (+42%), and </w:t>
      </w:r>
      <w:r>
        <w:rPr>
          <w:rFonts w:eastAsia="inter" w:cs="inter" w:ascii="inter" w:hAnsi="inter"/>
          <w:b/>
          <w:color w:val="000000"/>
        </w:rPr>
        <w:t xml:space="preserve">deceleration</w:t>
      </w:r>
      <w:r>
        <w:rPr>
          <w:rFonts w:eastAsia="inter" w:cs="inter" w:ascii="inter" w:hAnsi="inter"/>
          <w:color w:val="000000"/>
        </w:rPr>
        <w:t xml:space="preserve"> in traditionally strong names like MA (-36%), signaling potential trend shifts.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Critical Market Insights Discovered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🏆 Current Leadership Structure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Elite Leaders</w:t>
      </w:r>
      <w:r>
        <w:rPr>
          <w:rFonts w:eastAsia="inter" w:cs="inter" w:ascii="inter" w:hAnsi="inter"/>
          <w:color w:val="000000"/>
          <w:sz w:val="21"/>
        </w:rPr>
        <w:t xml:space="preserve">: WMT (99%), MA (93%) - but watch for momentum fading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Consistent Quality</w:t>
      </w:r>
      <w:r>
        <w:rPr>
          <w:rFonts w:eastAsia="inter" w:cs="inter" w:ascii="inter" w:hAnsi="inter"/>
          <w:color w:val="000000"/>
          <w:sz w:val="21"/>
        </w:rPr>
        <w:t xml:space="preserve">: GOOGL, GOOG, JPM - stable across timeframes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Market Structure</w:t>
      </w:r>
      <w:r>
        <w:rPr>
          <w:rFonts w:eastAsia="inter" w:cs="inter" w:ascii="inter" w:hAnsi="inter"/>
          <w:color w:val="000000"/>
          <w:sz w:val="21"/>
        </w:rPr>
        <w:t xml:space="preserve">: Narrow leadership (12.5% elite) indicates higher risk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🔄 Sector Rotation Signals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Finance</w:t>
      </w:r>
      <w:r>
        <w:rPr>
          <w:rFonts w:eastAsia="inter" w:cs="inter" w:ascii="inter" w:hAnsi="inter"/>
          <w:color w:val="000000"/>
          <w:sz w:val="21"/>
        </w:rPr>
        <w:t xml:space="preserve">: +73% momentum advantage - strong institutional inflows likely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Electronic Technology</w:t>
      </w:r>
      <w:r>
        <w:rPr>
          <w:rFonts w:eastAsia="inter" w:cs="inter" w:ascii="inter" w:hAnsi="inter"/>
          <w:color w:val="000000"/>
          <w:sz w:val="21"/>
        </w:rPr>
        <w:t xml:space="preserve">: Building long-term base (99% 66D RS) despite short-term weakness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Internet Software</w:t>
      </w:r>
      <w:r>
        <w:rPr>
          <w:rFonts w:eastAsia="inter" w:cs="inter" w:ascii="inter" w:hAnsi="inter"/>
          <w:color w:val="000000"/>
          <w:sz w:val="21"/>
        </w:rPr>
        <w:t xml:space="preserve">: Consistent leadership across all timeframes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💡 Actionable Trading Strategies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Momentum Breakout Plays</w:t>
      </w:r>
      <w:r>
        <w:rPr>
          <w:rFonts w:eastAsia="inter" w:cs="inter" w:ascii="inter" w:hAnsi="inter"/>
          <w:color w:val="000000"/>
          <w:sz w:val="21"/>
        </w:rPr>
        <w:t xml:space="preserve">: GOOGL, GOOG, AAPL - ride short-term strength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Value Turnaround Candidates</w:t>
      </w:r>
      <w:r>
        <w:rPr>
          <w:rFonts w:eastAsia="inter" w:cs="inter" w:ascii="inter" w:hAnsi="inter"/>
          <w:color w:val="000000"/>
          <w:sz w:val="21"/>
        </w:rPr>
        <w:t xml:space="preserve">: AVGO, NFLX, ORCL - wait for RS confirmation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Recent Accelerators</w:t>
      </w:r>
      <w:r>
        <w:rPr>
          <w:rFonts w:eastAsia="inter" w:cs="inter" w:ascii="inter" w:hAnsi="inter"/>
          <w:color w:val="000000"/>
          <w:sz w:val="21"/>
        </w:rPr>
        <w:t xml:space="preserve">: NFLX, AVGO, AMZN - potential trend continuation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Quality Core Holdings</w:t>
      </w:r>
      <w:r>
        <w:rPr>
          <w:rFonts w:eastAsia="inter" w:cs="inter" w:ascii="inter" w:hAnsi="inter"/>
          <w:color w:val="000000"/>
          <w:sz w:val="21"/>
        </w:rPr>
        <w:t xml:space="preserve">: GOOGL, GOOG, JPM - consistent performers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⚠️ Risk Assessment</w:t>
      </w:r>
    </w:p>
    <w:p>
      <w:pPr>
        <w:numPr>
          <w:ilvl w:val="0"/>
          <w:numId w:val="4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High Volatility Names</w:t>
      </w:r>
      <w:r>
        <w:rPr>
          <w:rFonts w:eastAsia="inter" w:cs="inter" w:ascii="inter" w:hAnsi="inter"/>
          <w:color w:val="000000"/>
          <w:sz w:val="21"/>
        </w:rPr>
        <w:t xml:space="preserve">: AAPL, LLY, MA, WMT - require tight risk management</w:t>
      </w:r>
    </w:p>
    <w:p>
      <w:pPr>
        <w:numPr>
          <w:ilvl w:val="0"/>
          <w:numId w:val="4"/>
        </w:numPr>
        <w:spacing w:line="360" w:before="105" w:after="105" w:lineRule="auto"/>
      </w:pPr>
      <w:r>
        <w:rPr>
          <w:rFonts w:eastAsia="inter" w:cs="inter" w:ascii="inter" w:hAnsi="inter"/>
          <w:b/>
          <w:color w:val="000000"/>
          <w:sz w:val="21"/>
        </w:rPr>
        <w:t xml:space="preserve">Narrow Leadership</w:t>
      </w:r>
      <w:r>
        <w:rPr>
          <w:rFonts w:eastAsia="inter" w:cs="inter" w:ascii="inter" w:hAnsi="inter"/>
          <w:color w:val="000000"/>
          <w:sz w:val="21"/>
        </w:rPr>
        <w:t xml:space="preserve">: Only 12.5% elite performers suggests fragile market structure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Key Analytical Discoveries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Momentum Patterns</w:t>
      </w:r>
      <w:r>
        <w:rPr>
          <w:rFonts w:eastAsia="inter" w:cs="inter" w:ascii="inter" w:hAnsi="inter"/>
          <w:color w:val="000000"/>
        </w:rPr>
        <w:t xml:space="preserve">: Clear divergence between short-term momentum leaders (GOOGL +49% vs long-term) and value turnarounds (ORCL +78% long-term vs short-term)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Sector Dynamics</w:t>
      </w:r>
      <w:r>
        <w:rPr>
          <w:rFonts w:eastAsia="inter" w:cs="inter" w:ascii="inter" w:hAnsi="inter"/>
          <w:color w:val="000000"/>
        </w:rPr>
        <w:t xml:space="preserve">: Finance sector rotation happening NOW (+73% momentum), while Tech sector bifurcated (Software leading, Semiconductors lagging short-term)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Recent Changes</w:t>
      </w:r>
      <w:r>
        <w:rPr>
          <w:rFonts w:eastAsia="inter" w:cs="inter" w:ascii="inter" w:hAnsi="inter"/>
          <w:color w:val="000000"/>
        </w:rPr>
        <w:t xml:space="preserve">: Weekly momentum acceleration in NFLX/AVGO suggests new money flows, while deceleration in MA/WMT indicates potential rotation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comprehensive analysis provides a complete framework for understanding current market leadership, identifying emerging trends, and positioning for both momentum continuation and mean reversion opportunities across multiple timeframes.</w:t>
      </w:r>
      <w:r>
        <w:rPr>
          <w:rFonts w:eastAsia="inter" w:cs="inter" w:ascii="inter" w:hAnsi="inter"/>
          <w:color w:val="000000"/>
        </w:rPr>
        <w:br w:type="textWrapping"/>
      </w:r>
    </w:p>
    <w:p>
      <w:pPr>
        <w:spacing w:line="360" w:lineRule="auto"/>
        <w:jc w:val="center"/>
      </w:pPr>
      <w:r>
        <w:rPr>
          <w:rFonts w:eastAsia="inter" w:cs="inter" w:ascii="inter" w:hAnsi="inter"/>
          <w:color w:val="000000"/>
        </w:rPr>
        <w:t xml:space="preserve">⁂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bookmarkStart w:id="0" w:name="fn1"/>
    <w:bookmarkEnd w:id="0"/>
    <w:p>
      <w:pPr>
        <w:numPr>
          <w:ilvl w:val="0"/>
          <w:numId w:val="6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rs_ibd_industries_0_daily_20250906.csv </w:t>
      </w:r>
    </w:p>
    <w:bookmarkStart w:id="1" w:name="fn2"/>
    <w:bookmarkEnd w:id="1"/>
    <w:p>
      <w:pPr>
        <w:numPr>
          <w:ilvl w:val="0"/>
          <w:numId w:val="6"/>
        </w:numPr>
        <w:spacing w:line="360" w:after="210" w:lineRule="auto"/>
      </w:pPr>
      <w:hyperlink r:id="rId11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https://ppl-ai-code-interpreter-files.s3.amazonaws.com/web/direct-files/4c8eaaac345c27465840b8d79381a9a0/7f47c981-c32a-4558-87a5-c7718c3d8f3d/68f84dbc.csv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2" w:name="fn3"/>
    <w:bookmarkEnd w:id="2"/>
    <w:p>
      <w:pPr>
        <w:numPr>
          <w:ilvl w:val="0"/>
          <w:numId w:val="6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rs_ibd_industries_0_monthly_20250906.csv </w:t>
      </w:r>
    </w:p>
    <w:bookmarkStart w:id="3" w:name="fn4"/>
    <w:bookmarkEnd w:id="3"/>
    <w:p>
      <w:pPr>
        <w:numPr>
          <w:ilvl w:val="0"/>
          <w:numId w:val="6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rs_ibd_industries_0_weekly_20250906.csv </w:t>
      </w:r>
    </w:p>
    <w:bookmarkStart w:id="4" w:name="fn5"/>
    <w:bookmarkEnd w:id="4"/>
    <w:p>
      <w:pPr>
        <w:numPr>
          <w:ilvl w:val="0"/>
          <w:numId w:val="6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rs_ibd_sectors_0_daily_20250906.csv </w:t>
      </w:r>
    </w:p>
    <w:bookmarkStart w:id="5" w:name="fn6"/>
    <w:bookmarkEnd w:id="5"/>
    <w:p>
      <w:pPr>
        <w:numPr>
          <w:ilvl w:val="0"/>
          <w:numId w:val="6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rs_ibd_sectors_0_monthly_20250906.csv </w:t>
      </w:r>
    </w:p>
    <w:bookmarkStart w:id="6" w:name="fn7"/>
    <w:bookmarkEnd w:id="6"/>
    <w:p>
      <w:pPr>
        <w:numPr>
          <w:ilvl w:val="0"/>
          <w:numId w:val="6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rs_ibd_sectors_0_weekly_20250906.csv </w:t>
      </w:r>
    </w:p>
    <w:bookmarkStart w:id="7" w:name="fn8"/>
    <w:bookmarkEnd w:id="7"/>
    <w:p>
      <w:pPr>
        <w:numPr>
          <w:ilvl w:val="0"/>
          <w:numId w:val="6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rs_ibd_stocks_0_daily_20250829.csv </w:t>
      </w:r>
    </w:p>
    <w:bookmarkStart w:id="8" w:name="fn9"/>
    <w:bookmarkEnd w:id="8"/>
    <w:p>
      <w:pPr>
        <w:numPr>
          <w:ilvl w:val="0"/>
          <w:numId w:val="6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rs_ibd_stocks_0_monthly_20250829.csv </w:t>
      </w:r>
    </w:p>
    <w:bookmarkStart w:id="9" w:name="fn10"/>
    <w:bookmarkEnd w:id="9"/>
    <w:p>
      <w:pPr>
        <w:numPr>
          <w:ilvl w:val="0"/>
          <w:numId w:val="6"/>
        </w:numPr>
        <w:spacing w:line="360" w:after="210" w:lineRule="auto"/>
      </w:pPr>
      <w:r>
        <w:rPr>
          <w:rFonts w:eastAsia="inter" w:cs="inter" w:ascii="inter" w:hAnsi="inter"/>
          <w:color w:val="000000"/>
          <w:sz w:val="18"/>
        </w:rPr>
        <w:t xml:space="preserve">rs_ibd_stocks_0_weekly_20250825.csv </w:t>
      </w:r>
    </w:p>
    <w:sectPr>
      <w:pgSz w:w="12240" w:h="15840" w:orient="portrait"/>
      <w:pgMar w:top="1365" w:right="1365" w:bottom="1365" w:left="1365" w:header="720" w:footer="72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nter">
    <w:family w:val="auto"/>
    <w:pitch w:val="variable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5">
    <w:multiLevelType w:val="hybridMultilevel"/>
  </w:abstractNum>
  <w:abstractNum w:abstractNumId="6">
    <w:multiLevelType w:val="hybridMultilevel"/>
    <w:lvl w:ilvl="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Georgia" w:eastAsiaTheme="minorHAnsi" w:hAnsiTheme="minorHAnsi" w:cstheme="minorBidi"/>
        <w:sz w:val="21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paragraph" w:default="1" w:styleId="Normal">
    <w:name w:val="Normal"/>
    <w:next w:val="Normal"/>
    <w:pPr/>
    <w:rPr>
      <w:rFonts w:ascii="Georgia" w:eastAsiaTheme="minorHAnsi" w:hAnsiTheme="minorHAnsi" w:cstheme="minorBidi"/>
      <w:sz w:val="21"/>
      <w:szCs w:val="22"/>
      <w:lang w:val="en-US" w:eastAsia="en-US" w:bidi="ar-SA"/>
    </w:rPr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-2ac784770a0e997443997baace6a4c0f53383257.png" TargetMode="Internal"/><Relationship Id="rId6" Type="http://schemas.openxmlformats.org/officeDocument/2006/relationships/image" Target="media/image-589c5e6d84af1ac643d0036a46f0f40fdcf0397b.png" TargetMode="Internal"/><Relationship Id="rId7" Type="http://schemas.openxmlformats.org/officeDocument/2006/relationships/image" Target="media/image-00bd26daa83960fb052d2a2faf034d8125119f26.png" TargetMode="Internal"/><Relationship Id="rId8" Type="http://schemas.openxmlformats.org/officeDocument/2006/relationships/image" Target="media/image-618975cb7daa6b3d726a2f5a0f7063b3f99ad210.png" TargetMode="Internal"/><Relationship Id="rId9" Type="http://schemas.openxmlformats.org/officeDocument/2006/relationships/image" Target="media/image-01d906ab643fd818a2a9195145df4e10042fd809.png" TargetMode="Internal"/><Relationship Id="rId10" Type="http://schemas.openxmlformats.org/officeDocument/2006/relationships/image" Target="media/image-6495189061598c415724112dc779b72566ada9e5.png" TargetMode="Internal"/><Relationship Id="rId11" Type="http://schemas.openxmlformats.org/officeDocument/2006/relationships/hyperlink" Target="https://ppl-ai-code-interpreter-files.s3.amazonaws.com/web/direct-files/4c8eaaac345c27465840b8d79381a9a0/7f47c981-c32a-4558-87a5-c7718c3d8f3d/68f84dbc.csv" TargetMode="External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2025-09-06T06:19:12.715Z</dcterms:created>
  <dcterms:modified xsi:type="dcterms:W3CDTF">2025-09-06T06:19:12.715Z</dcterms:modified>
</cp:coreProperties>
</file>