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2420112" cy="609600"/>
            <wp:effectExtent b="0" l="0" r="0" t="0"/>
            <wp:docPr id="1" name="image-170cef9fb10b6b29ceca9e3fddfe4618017b2cea.png"/>
            <a:graphic>
              <a:graphicData uri="http://schemas.openxmlformats.org/drawingml/2006/picture">
                <pic:pic>
                  <pic:nvPicPr>
                    <pic:cNvPr id="1" name="image-170cef9fb10b6b29ceca9e3fddfe4618017b2cea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r>
        <w:rPr>
          <w:rFonts w:eastAsia="inter" w:cs="inter" w:ascii="inter" w:hAnsi="inter"/>
          <w:b/>
          <w:color w:val="000000"/>
          <w:sz w:val="39"/>
        </w:rPr>
        <w:t xml:space="preserve">Comprehensive Relative Strength Analysis &amp; Visualizations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Based on your RS data for stocks, sectors, and industries, I've created multiple visualizations and analyses to help you understand market dynamics and identify opportunities.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Visualizations Created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2" name="image-592517072677e5a488071c8cbaf2f1bc4405c15e.png"/>
            <a:graphic>
              <a:graphicData uri="http://schemas.openxmlformats.org/drawingml/2006/picture">
                <pic:pic>
                  <pic:nvPicPr>
                    <pic:cNvPr id="2" name="image-592517072677e5a488071c8cbaf2f1bc4405c15e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Stock RS Percentile Heatmap Across Multiple Timeframes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</w:t>
      </w:r>
      <w:r>
        <w:rPr>
          <w:rFonts w:eastAsia="inter" w:cs="inter" w:ascii="inter" w:hAnsi="inter"/>
          <w:b/>
          <w:color w:val="000000"/>
        </w:rPr>
        <w:t xml:space="preserve">RS Percentile Heatmap</w:t>
      </w:r>
      <w:r>
        <w:rPr>
          <w:rFonts w:eastAsia="inter" w:cs="inter" w:ascii="inter" w:hAnsi="inter"/>
          <w:color w:val="000000"/>
        </w:rPr>
        <w:t xml:space="preserve"> shows relative strength patterns across multiple timeframes for all 16 major stocks. </w:t>
      </w:r>
      <w:r>
        <w:rPr>
          <w:rFonts w:eastAsia="inter" w:cs="inter" w:ascii="inter" w:hAnsi="inter"/>
          <w:b/>
          <w:color w:val="000000"/>
        </w:rPr>
        <w:t xml:space="preserve">GOOGL and GOOG dominate</w:t>
      </w:r>
      <w:r>
        <w:rPr>
          <w:rFonts w:eastAsia="inter" w:cs="inter" w:ascii="inter" w:hAnsi="inter"/>
          <w:color w:val="000000"/>
        </w:rPr>
        <w:t xml:space="preserve"> with consistently high RS percentiles, while stocks like </w:t>
      </w:r>
      <w:r>
        <w:rPr>
          <w:rFonts w:eastAsia="inter" w:cs="inter" w:ascii="inter" w:hAnsi="inter"/>
          <w:b/>
          <w:color w:val="000000"/>
        </w:rPr>
        <w:t xml:space="preserve">ORCL and AVGO</w:t>
      </w:r>
      <w:r>
        <w:rPr>
          <w:rFonts w:eastAsia="inter" w:cs="inter" w:ascii="inter" w:hAnsi="inter"/>
          <w:color w:val="000000"/>
        </w:rPr>
        <w:t xml:space="preserve"> show interesting long-term strength despite short-term weakness.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3" name="image-3c7d4b07a12e31af30634c2ddb8451d5e36a8ef3.png"/>
            <a:graphic>
              <a:graphicData uri="http://schemas.openxmlformats.org/drawingml/2006/picture">
                <pic:pic>
                  <pic:nvPicPr>
                    <pic:cNvPr id="3" name="image-3c7d4b07a12e31af30634c2ddb8451d5e36a8ef3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Top 10 Stocks by 1-Day Relative Strength Percentile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This </w:t>
      </w:r>
      <w:r>
        <w:rPr>
          <w:rFonts w:eastAsia="inter" w:cs="inter" w:ascii="inter" w:hAnsi="inter"/>
          <w:b/>
          <w:color w:val="000000"/>
        </w:rPr>
        <w:t xml:space="preserve">Top 10 Daily RS Leaders chart</w:t>
      </w:r>
      <w:r>
        <w:rPr>
          <w:rFonts w:eastAsia="inter" w:cs="inter" w:ascii="inter" w:hAnsi="inter"/>
          <w:color w:val="000000"/>
        </w:rPr>
        <w:t xml:space="preserve"> highlights current market leadership, with </w:t>
      </w:r>
      <w:r>
        <w:rPr>
          <w:rFonts w:eastAsia="inter" w:cs="inter" w:ascii="inter" w:hAnsi="inter"/>
          <w:b/>
          <w:color w:val="000000"/>
        </w:rPr>
        <w:t xml:space="preserve">WMT leading at the 99th percentile</w:t>
      </w:r>
      <w:r>
        <w:rPr>
          <w:rFonts w:eastAsia="inter" w:cs="inter" w:ascii="inter" w:hAnsi="inter"/>
          <w:color w:val="000000"/>
        </w:rPr>
        <w:t xml:space="preserve"> followed by </w:t>
      </w:r>
      <w:r>
        <w:rPr>
          <w:rFonts w:eastAsia="inter" w:cs="inter" w:ascii="inter" w:hAnsi="inter"/>
          <w:b/>
          <w:color w:val="000000"/>
        </w:rPr>
        <w:t xml:space="preserve">MA, GOOGL, and V</w:t>
      </w:r>
      <w:r>
        <w:rPr>
          <w:rFonts w:eastAsia="inter" w:cs="inter" w:ascii="inter" w:hAnsi="inter"/>
          <w:color w:val="000000"/>
        </w:rPr>
        <w:t xml:space="preserve"> in the top tier.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4" name="image-040cc392f716bddf0bbf85291bf9c3cc43be9ecd.png"/>
            <a:graphic>
              <a:graphicData uri="http://schemas.openxmlformats.org/drawingml/2006/picture">
                <pic:pic>
                  <pic:nvPicPr>
                    <pic:cNvPr id="4" name="image-040cc392f716bddf0bbf85291bf9c3cc43be9ecd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Sector RS Performance Radar Chart Across Timeframes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</w:t>
      </w:r>
      <w:r>
        <w:rPr>
          <w:rFonts w:eastAsia="inter" w:cs="inter" w:ascii="inter" w:hAnsi="inter"/>
          <w:b/>
          <w:color w:val="000000"/>
        </w:rPr>
        <w:t xml:space="preserve">Sector Radar Chart</w:t>
      </w:r>
      <w:r>
        <w:rPr>
          <w:rFonts w:eastAsia="inter" w:cs="inter" w:ascii="inter" w:hAnsi="inter"/>
          <w:color w:val="000000"/>
        </w:rPr>
        <w:t xml:space="preserve"> reveals clear sector rotation patterns - </w:t>
      </w:r>
      <w:r>
        <w:rPr>
          <w:rFonts w:eastAsia="inter" w:cs="inter" w:ascii="inter" w:hAnsi="inter"/>
          <w:b/>
          <w:color w:val="000000"/>
        </w:rPr>
        <w:t xml:space="preserve">Finance sector dominates short-term timeframes</w:t>
      </w:r>
      <w:r>
        <w:rPr>
          <w:rFonts w:eastAsia="inter" w:cs="inter" w:ascii="inter" w:hAnsi="inter"/>
          <w:color w:val="000000"/>
        </w:rPr>
        <w:t xml:space="preserve"> (1D, 7D, 22D) while </w:t>
      </w:r>
      <w:r>
        <w:rPr>
          <w:rFonts w:eastAsia="inter" w:cs="inter" w:ascii="inter" w:hAnsi="inter"/>
          <w:b/>
          <w:color w:val="000000"/>
        </w:rPr>
        <w:t xml:space="preserve">Electronic Technology shows strength in longer periods</w:t>
      </w:r>
      <w:r>
        <w:rPr>
          <w:rFonts w:eastAsia="inter" w:cs="inter" w:ascii="inter" w:hAnsi="inter"/>
          <w:color w:val="000000"/>
        </w:rPr>
        <w:t xml:space="preserve"> (66D).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5" name="image-d2ae56ed5da02a30aa93b122b19cc40e43dd407d.png"/>
            <a:graphic>
              <a:graphicData uri="http://schemas.openxmlformats.org/drawingml/2006/picture">
                <pic:pic>
                  <pic:nvPicPr>
                    <pic:cNvPr id="5" name="image-d2ae56ed5da02a30aa93b122b19cc40e43dd407d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Short-term vs Long-term RS Performance Scatter Plot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This </w:t>
      </w:r>
      <w:r>
        <w:rPr>
          <w:rFonts w:eastAsia="inter" w:cs="inter" w:ascii="inter" w:hAnsi="inter"/>
          <w:b/>
          <w:color w:val="000000"/>
        </w:rPr>
        <w:t xml:space="preserve">scatter plot</w:t>
      </w:r>
      <w:r>
        <w:rPr>
          <w:rFonts w:eastAsia="inter" w:cs="inter" w:ascii="inter" w:hAnsi="inter"/>
          <w:color w:val="000000"/>
        </w:rPr>
        <w:t xml:space="preserve"> effectively separates momentum plays from value opportunities. Stocks </w:t>
      </w:r>
      <w:r>
        <w:rPr>
          <w:rFonts w:eastAsia="inter" w:cs="inter" w:ascii="inter" w:hAnsi="inter"/>
          <w:b/>
          <w:color w:val="000000"/>
        </w:rPr>
        <w:t xml:space="preserve">below the diagonal line</w:t>
      </w:r>
      <w:r>
        <w:rPr>
          <w:rFonts w:eastAsia="inter" w:cs="inter" w:ascii="inter" w:hAnsi="inter"/>
          <w:color w:val="000000"/>
        </w:rPr>
        <w:t xml:space="preserve"> (like LLY, AAPL, GOOGL) show stronger short-term momentum, while those </w:t>
      </w:r>
      <w:r>
        <w:rPr>
          <w:rFonts w:eastAsia="inter" w:cs="inter" w:ascii="inter" w:hAnsi="inter"/>
          <w:b/>
          <w:color w:val="000000"/>
        </w:rPr>
        <w:t xml:space="preserve">above the line</w:t>
      </w:r>
      <w:r>
        <w:rPr>
          <w:rFonts w:eastAsia="inter" w:cs="inter" w:ascii="inter" w:hAnsi="inter"/>
          <w:color w:val="000000"/>
        </w:rPr>
        <w:t xml:space="preserve"> (like ORCL, AVGO, NFLX) indicate potential turnaround candidates with strong long-term RS.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6" name="image-a3e4a41f0adbe80925857c9dfcd933b41c5498b8.png"/>
            <a:graphic>
              <a:graphicData uri="http://schemas.openxmlformats.org/drawingml/2006/picture">
                <pic:pic>
                  <pic:nvPicPr>
                    <pic:cNvPr id="6" name="image-a3e4a41f0adbe80925857c9dfcd933b41c5498b8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Industry Performance Comparison: Short-term vs Long-term RS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</w:t>
      </w:r>
      <w:r>
        <w:rPr>
          <w:rFonts w:eastAsia="inter" w:cs="inter" w:ascii="inter" w:hAnsi="inter"/>
          <w:b/>
          <w:color w:val="000000"/>
        </w:rPr>
        <w:t xml:space="preserve">Industry Performance Comparison</w:t>
      </w:r>
      <w:r>
        <w:rPr>
          <w:rFonts w:eastAsia="inter" w:cs="inter" w:ascii="inter" w:hAnsi="inter"/>
          <w:color w:val="000000"/>
        </w:rPr>
        <w:t xml:space="preserve"> shows </w:t>
      </w:r>
      <w:r>
        <w:rPr>
          <w:rFonts w:eastAsia="inter" w:cs="inter" w:ascii="inter" w:hAnsi="inter"/>
          <w:b/>
          <w:color w:val="000000"/>
        </w:rPr>
        <w:t xml:space="preserve">Internet Software/Services</w:t>
      </w:r>
      <w:r>
        <w:rPr>
          <w:rFonts w:eastAsia="inter" w:cs="inter" w:ascii="inter" w:hAnsi="inter"/>
          <w:color w:val="000000"/>
        </w:rPr>
        <w:t xml:space="preserve"> leading in short-term performance while </w:t>
      </w:r>
      <w:r>
        <w:rPr>
          <w:rFonts w:eastAsia="inter" w:cs="inter" w:ascii="inter" w:hAnsi="inter"/>
          <w:b/>
          <w:color w:val="000000"/>
        </w:rPr>
        <w:t xml:space="preserve">Semiconductors</w:t>
      </w:r>
      <w:r>
        <w:rPr>
          <w:rFonts w:eastAsia="inter" w:cs="inter" w:ascii="inter" w:hAnsi="inter"/>
          <w:color w:val="000000"/>
        </w:rPr>
        <w:t xml:space="preserve"> display strong long-term momentum despite recent weakness.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Market Insights Discovered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Current Market Leaders (1-Day RS)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Stocks</w:t>
      </w:r>
      <w:r>
        <w:rPr>
          <w:rFonts w:eastAsia="inter" w:cs="inter" w:ascii="inter" w:hAnsi="inter"/>
          <w:color w:val="000000"/>
          <w:sz w:val="21"/>
        </w:rPr>
        <w:t xml:space="preserve">: WMT (99th percentile), MA (93rd), GOOGL (87th)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Sectors</w:t>
      </w:r>
      <w:r>
        <w:rPr>
          <w:rFonts w:eastAsia="inter" w:cs="inter" w:ascii="inter" w:hAnsi="inter"/>
          <w:color w:val="000000"/>
          <w:sz w:val="21"/>
        </w:rPr>
        <w:t xml:space="preserve">: Finance (99th percentile) - indicating possible rotation INTO finance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Industries</w:t>
      </w:r>
      <w:r>
        <w:rPr>
          <w:rFonts w:eastAsia="inter" w:cs="inter" w:ascii="inter" w:hAnsi="inter"/>
          <w:color w:val="000000"/>
          <w:sz w:val="21"/>
        </w:rPr>
        <w:t xml:space="preserve">: Finance/Rental/Leasing (99th percentile)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Momentum Pattern Analysis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Most Consistent Performers</w:t>
      </w:r>
      <w:r>
        <w:rPr>
          <w:rFonts w:eastAsia="inter" w:cs="inter" w:ascii="inter" w:hAnsi="inter"/>
          <w:color w:val="000000"/>
          <w:sz w:val="21"/>
        </w:rPr>
        <w:t xml:space="preserve">: GOOGL, GOOG, JPM show stable high RS with low volatility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Strongest Short-term Momentum</w:t>
      </w:r>
      <w:r>
        <w:rPr>
          <w:rFonts w:eastAsia="inter" w:cs="inter" w:ascii="inter" w:hAnsi="inter"/>
          <w:color w:val="000000"/>
          <w:sz w:val="21"/>
        </w:rPr>
        <w:t xml:space="preserve">: LLY (+67.5% vs long-term average)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Strongest Long-term Value</w:t>
      </w:r>
      <w:r>
        <w:rPr>
          <w:rFonts w:eastAsia="inter" w:cs="inter" w:ascii="inter" w:hAnsi="inter"/>
          <w:color w:val="000000"/>
          <w:sz w:val="21"/>
        </w:rPr>
        <w:t xml:space="preserve">: ORCL (-77.0% short-term vs long-term gap)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Actionable Trading Insights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Watch List</w:t>
      </w:r>
      <w:r>
        <w:rPr>
          <w:rFonts w:eastAsia="inter" w:cs="inter" w:ascii="inter" w:hAnsi="inter"/>
          <w:color w:val="000000"/>
          <w:sz w:val="21"/>
        </w:rPr>
        <w:t xml:space="preserve"> (consistent high RS): GOOGL, GOOG, JPM, AAPL, V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Momentum Plays</w:t>
      </w:r>
      <w:r>
        <w:rPr>
          <w:rFonts w:eastAsia="inter" w:cs="inter" w:ascii="inter" w:hAnsi="inter"/>
          <w:color w:val="000000"/>
          <w:sz w:val="21"/>
        </w:rPr>
        <w:t xml:space="preserve"> (strong short-term): LLY, AAPL, GOOGL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Value/Turnaround</w:t>
      </w:r>
      <w:r>
        <w:rPr>
          <w:rFonts w:eastAsia="inter" w:cs="inter" w:ascii="inter" w:hAnsi="inter"/>
          <w:color w:val="000000"/>
          <w:sz w:val="21"/>
        </w:rPr>
        <w:t xml:space="preserve"> (strong long-term, weak short-term): ORCL, AVGO, NFLX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Sector Focus</w:t>
      </w:r>
      <w:r>
        <w:rPr>
          <w:rFonts w:eastAsia="inter" w:cs="inter" w:ascii="inter" w:hAnsi="inter"/>
          <w:color w:val="000000"/>
          <w:sz w:val="21"/>
        </w:rPr>
        <w:t xml:space="preserve">: Finance shows short-term leadership; Semiconductors offer long-term value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Data Analysis Summary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analysis reveals </w:t>
      </w:r>
      <w:r>
        <w:rPr>
          <w:rFonts w:eastAsia="inter" w:cs="inter" w:ascii="inter" w:hAnsi="inter"/>
          <w:b/>
          <w:color w:val="000000"/>
        </w:rPr>
        <w:t xml:space="preserve">clear momentum divergences</w:t>
      </w:r>
      <w:r>
        <w:rPr>
          <w:rFonts w:eastAsia="inter" w:cs="inter" w:ascii="inter" w:hAnsi="inter"/>
          <w:color w:val="000000"/>
        </w:rPr>
        <w:t xml:space="preserve"> and </w:t>
      </w:r>
      <w:r>
        <w:rPr>
          <w:rFonts w:eastAsia="inter" w:cs="inter" w:ascii="inter" w:hAnsi="inter"/>
          <w:b/>
          <w:color w:val="000000"/>
        </w:rPr>
        <w:t xml:space="preserve">sector rotation patterns</w:t>
      </w:r>
      <w:r>
        <w:rPr>
          <w:rFonts w:eastAsia="inter" w:cs="inter" w:ascii="inter" w:hAnsi="inter"/>
          <w:color w:val="000000"/>
        </w:rPr>
        <w:t xml:space="preserve">. Finance sector dominance in short-term timeframes suggests institutional rotation, while the semiconductor industry's long-term strength despite short-term weakness presents potential value opportunities. The comprehensive dataset enables identification of both momentum continuation plays and mean-reversion candidates across multiple timeframes.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0" w:name="fn1"/>
    <w:bookmarkEnd w:id="0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rs_ibd_industries_0_daily_20250906.csv </w:t>
      </w:r>
    </w:p>
    <w:bookmarkStart w:id="1" w:name="fn2"/>
    <w:bookmarkEnd w:id="1"/>
    <w:p>
      <w:pPr>
        <w:numPr>
          <w:ilvl w:val="0"/>
          <w:numId w:val="5"/>
        </w:numPr>
        <w:spacing w:line="360" w:after="210" w:lineRule="auto"/>
      </w:pPr>
      <w:hyperlink r:id="rId1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https://ppl-ai-code-interpreter-files.s3.amazonaws.com/web/direct-files/39f05636404ee8cb166e8f79e382e4cb/4a9d3949-fe4b-4af2-a30f-b093b3a58b16/7616bad3.csv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" w:name="fn3"/>
    <w:bookmarkEnd w:id="2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rs_ibd_industries_0_monthly_20250906.csv </w:t>
      </w:r>
    </w:p>
    <w:bookmarkStart w:id="3" w:name="fn4"/>
    <w:bookmarkEnd w:id="3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rs_ibd_industries_0_weekly_20250906.csv </w:t>
      </w:r>
    </w:p>
    <w:bookmarkStart w:id="4" w:name="fn5"/>
    <w:bookmarkEnd w:id="4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rs_ibd_sectors_0_daily_20250906.csv </w:t>
      </w:r>
    </w:p>
    <w:bookmarkStart w:id="5" w:name="fn6"/>
    <w:bookmarkEnd w:id="5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rs_ibd_sectors_0_monthly_20250906.csv </w:t>
      </w:r>
    </w:p>
    <w:bookmarkStart w:id="6" w:name="fn7"/>
    <w:bookmarkEnd w:id="6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rs_ibd_sectors_0_weekly_20250906.csv </w:t>
      </w:r>
    </w:p>
    <w:bookmarkStart w:id="7" w:name="fn8"/>
    <w:bookmarkEnd w:id="7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rs_ibd_stocks_0_daily_20250829.csv </w:t>
      </w:r>
    </w:p>
    <w:bookmarkStart w:id="8" w:name="fn9"/>
    <w:bookmarkEnd w:id="8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rs_ibd_stocks_0_monthly_20250829.csv </w:t>
      </w:r>
    </w:p>
    <w:bookmarkStart w:id="9" w:name="fn10"/>
    <w:bookmarkEnd w:id="9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rs_ibd_stocks_0_weekly_20250825.csv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4">
    <w:multiLevelType w:val="hybridMultilevel"/>
  </w:abstractNum>
  <w:abstractNum w:abstractNumId="5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170cef9fb10b6b29ceca9e3fddfe4618017b2cea.png" TargetMode="Internal"/><Relationship Id="rId6" Type="http://schemas.openxmlformats.org/officeDocument/2006/relationships/image" Target="media/image-592517072677e5a488071c8cbaf2f1bc4405c15e.png" TargetMode="Internal"/><Relationship Id="rId7" Type="http://schemas.openxmlformats.org/officeDocument/2006/relationships/image" Target="media/image-3c7d4b07a12e31af30634c2ddb8451d5e36a8ef3.png" TargetMode="Internal"/><Relationship Id="rId8" Type="http://schemas.openxmlformats.org/officeDocument/2006/relationships/image" Target="media/image-040cc392f716bddf0bbf85291bf9c3cc43be9ecd.png" TargetMode="Internal"/><Relationship Id="rId9" Type="http://schemas.openxmlformats.org/officeDocument/2006/relationships/image" Target="media/image-d2ae56ed5da02a30aa93b122b19cc40e43dd407d.png" TargetMode="Internal"/><Relationship Id="rId10" Type="http://schemas.openxmlformats.org/officeDocument/2006/relationships/image" Target="media/image-a3e4a41f0adbe80925857c9dfcd933b41c5498b8.png" TargetMode="Internal"/><Relationship Id="rId11" Type="http://schemas.openxmlformats.org/officeDocument/2006/relationships/hyperlink" Target="https://ppl-ai-code-interpreter-files.s3.amazonaws.com/web/direct-files/39f05636404ee8cb166e8f79e382e4cb/4a9d3949-fe4b-4af2-a30f-b093b3a58b16/7616bad3.csv" TargetMode="Ex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2025-09-06T04:51:35.235Z</dcterms:created>
  <dcterms:modified xsi:type="dcterms:W3CDTF">2025-09-06T04:51:35.235Z</dcterms:modified>
</cp:coreProperties>
</file>