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2420112" cy="609600"/>
            <wp:effectExtent b="0" l="0" r="0" t="0"/>
            <wp:docPr id="1" name="image-ae03b20c8cc1b7e51f8960a7006cc4b08d445c6a.png"/>
            <a:graphic>
              <a:graphicData uri="http://schemas.openxmlformats.org/drawingml/2006/picture">
                <pic:pic>
                  <pic:nvPicPr>
                    <pic:cNvPr id="1" name="image-ae03b20c8cc1b7e51f8960a7006cc4b08d445c6a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Comprehensive Financial Data Visualization Analysis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Based on your interest in charts, figures, and graphs, I've created a comprehensive suite of visualizations analyzing the financial data from your dataset. Here's what the analysis reveals: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Key Visualizations Created: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2" name="image-7c9db8af3380059c3ab0c8302954035158230864.png"/>
            <a:graphic>
              <a:graphicData uri="http://schemas.openxmlformats.org/drawingml/2006/picture">
                <pic:pic>
                  <pic:nvPicPr>
                    <pic:cNvPr id="2" name="image-7c9db8af3380059c3ab0c8302954035158230864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Stock Price vs Annual Performance: Relationship between current stock price and yearly percentage returns across major stocks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Stock Price vs Annual Performance Scatter Plot</w:t>
      </w:r>
      <w:r>
        <w:rPr>
          <w:rFonts w:eastAsia="inter" w:cs="inter" w:ascii="inter" w:hAnsi="inter"/>
          <w:color w:val="000000"/>
        </w:rPr>
        <w:t xml:space="preserve">: Shows the relationship between current stock prices and yearly returns across 64 major stocks, revealing that higher-priced stocks don't necessarily deliver better returns.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3" name="image-fcac3c56e513516ec409442a358160e23543df8a.png"/>
            <a:graphic>
              <a:graphicData uri="http://schemas.openxmlformats.org/drawingml/2006/picture">
                <pic:pic>
                  <pic:nvPicPr>
                    <pic:cNvPr id="3" name="image-fcac3c56e513516ec409442a358160e23543df8a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Financial Metrics Correlation Matrix: Heatmap showing relationships between key stock performance indicators and technical analysis metrics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Financial Metrics Correlation Heatmap</w:t>
      </w:r>
      <w:r>
        <w:rPr>
          <w:rFonts w:eastAsia="inter" w:cs="inter" w:ascii="inter" w:hAnsi="inter"/>
          <w:color w:val="000000"/>
        </w:rPr>
        <w:t xml:space="preserve">: Displays correlations between 9 key financial indicators including price, returns, RSI, MACD, volatility, and momentum. Notable findings include strong correlations between certain technical indicators.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4" name="image-47c2fbf0cf49f4d9a183690769336f99153a7e6f.png"/>
            <a:graphic>
              <a:graphicData uri="http://schemas.openxmlformats.org/drawingml/2006/picture">
                <pic:pic>
                  <pic:nvPicPr>
                    <pic:cNvPr id="4" name="image-47c2fbf0cf49f4d9a183690769336f99153a7e6f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Sector Performance vs Risk Analysis: Bubble chart showing annual returns, volatility, and market representation across major market sectors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Sector Performance Bubble Chart</w:t>
      </w:r>
      <w:r>
        <w:rPr>
          <w:rFonts w:eastAsia="inter" w:cs="inter" w:ascii="inter" w:hAnsi="inter"/>
          <w:color w:val="000000"/>
        </w:rPr>
        <w:t xml:space="preserve">: Analyzes performance across 11 market sectors, with bubble sizes representing the number of stocks analyzed. </w:t>
      </w:r>
      <w:r>
        <w:rPr>
          <w:rFonts w:eastAsia="inter" w:cs="inter" w:ascii="inter" w:hAnsi="inter"/>
          <w:b/>
          <w:color w:val="000000"/>
        </w:rPr>
        <w:t xml:space="preserve">Financials</w:t>
      </w:r>
      <w:r>
        <w:rPr>
          <w:rFonts w:eastAsia="inter" w:cs="inter" w:ascii="inter" w:hAnsi="inter"/>
          <w:color w:val="000000"/>
        </w:rPr>
        <w:t xml:space="preserve"> lead with 37.74% average returns, followed by </w:t>
      </w:r>
      <w:r>
        <w:rPr>
          <w:rFonts w:eastAsia="inter" w:cs="inter" w:ascii="inter" w:hAnsi="inter"/>
          <w:b/>
          <w:color w:val="000000"/>
        </w:rPr>
        <w:t xml:space="preserve">Technology</w:t>
      </w:r>
      <w:r>
        <w:rPr>
          <w:rFonts w:eastAsia="inter" w:cs="inter" w:ascii="inter" w:hAnsi="inter"/>
          <w:color w:val="000000"/>
        </w:rPr>
        <w:t xml:space="preserve"> at 34.24%.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5" name="image-b298b3ddb842e119048beb6eb310050ee25ff67b.png"/>
            <a:graphic>
              <a:graphicData uri="http://schemas.openxmlformats.org/drawingml/2006/picture">
                <pic:pic>
                  <pic:nvPicPr>
                    <pic:cNvPr id="5" name="image-b298b3ddb842e119048beb6eb310050ee25ff67b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Top vs Bottom Stock Performers: Analysis of annual returns and technical indicators for extreme performers in the market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Top vs Bottom Performers Analysis</w:t>
      </w:r>
      <w:r>
        <w:rPr>
          <w:rFonts w:eastAsia="inter" w:cs="inter" w:ascii="inter" w:hAnsi="inter"/>
          <w:color w:val="000000"/>
        </w:rPr>
        <w:t xml:space="preserve">: Two-panel chart showing extreme performers. </w:t>
      </w:r>
      <w:r>
        <w:rPr>
          <w:rFonts w:eastAsia="inter" w:cs="inter" w:ascii="inter" w:hAnsi="inter"/>
          <w:b/>
          <w:color w:val="000000"/>
        </w:rPr>
        <w:t xml:space="preserve">APP</w:t>
      </w:r>
      <w:r>
        <w:rPr>
          <w:rFonts w:eastAsia="inter" w:cs="inter" w:ascii="inter" w:hAnsi="inter"/>
          <w:color w:val="000000"/>
        </w:rPr>
        <w:t xml:space="preserve"> (+443.85%) and </w:t>
      </w:r>
      <w:r>
        <w:rPr>
          <w:rFonts w:eastAsia="inter" w:cs="inter" w:ascii="inter" w:hAnsi="inter"/>
          <w:b/>
          <w:color w:val="000000"/>
        </w:rPr>
        <w:t xml:space="preserve">PLTR</w:t>
      </w:r>
      <w:r>
        <w:rPr>
          <w:rFonts w:eastAsia="inter" w:cs="inter" w:ascii="inter" w:hAnsi="inter"/>
          <w:color w:val="000000"/>
        </w:rPr>
        <w:t xml:space="preserve"> (+416.17%) lead winners, while </w:t>
      </w:r>
      <w:r>
        <w:rPr>
          <w:rFonts w:eastAsia="inter" w:cs="inter" w:ascii="inter" w:hAnsi="inter"/>
          <w:b/>
          <w:color w:val="000000"/>
        </w:rPr>
        <w:t xml:space="preserve">UNH</w:t>
      </w:r>
      <w:r>
        <w:rPr>
          <w:rFonts w:eastAsia="inter" w:cs="inter" w:ascii="inter" w:hAnsi="inter"/>
          <w:color w:val="000000"/>
        </w:rPr>
        <w:t xml:space="preserve"> (-46.36%) and </w:t>
      </w:r>
      <w:r>
        <w:rPr>
          <w:rFonts w:eastAsia="inter" w:cs="inter" w:ascii="inter" w:hAnsi="inter"/>
          <w:b/>
          <w:color w:val="000000"/>
        </w:rPr>
        <w:t xml:space="preserve">LLY</w:t>
      </w:r>
      <w:r>
        <w:rPr>
          <w:rFonts w:eastAsia="inter" w:cs="inter" w:ascii="inter" w:hAnsi="inter"/>
          <w:color w:val="000000"/>
        </w:rPr>
        <w:t xml:space="preserve"> (-22.21%) are notable underperformers.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6" name="image-23db88dfaf0fa54bbd2135165cb871f921ce3cb0.png"/>
            <a:graphic>
              <a:graphicData uri="http://schemas.openxmlformats.org/drawingml/2006/picture">
                <pic:pic>
                  <pic:nvPicPr>
                    <pic:cNvPr id="6" name="image-23db88dfaf0fa54bbd2135165cb871f921ce3cb0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Annual Returns Distribution by Market Cap: Violin plot showing return distributions across different market capitalization categories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Market Cap Returns Distribution</w:t>
      </w:r>
      <w:r>
        <w:rPr>
          <w:rFonts w:eastAsia="inter" w:cs="inter" w:ascii="inter" w:hAnsi="inter"/>
          <w:color w:val="000000"/>
        </w:rPr>
        <w:t xml:space="preserve">: Violin plot showing how returns vary by market capitalization categories. </w:t>
      </w:r>
      <w:r>
        <w:rPr>
          <w:rFonts w:eastAsia="inter" w:cs="inter" w:ascii="inter" w:hAnsi="inter"/>
          <w:b/>
          <w:color w:val="000000"/>
        </w:rPr>
        <w:t xml:space="preserve">Large Cap</w:t>
      </w:r>
      <w:r>
        <w:rPr>
          <w:rFonts w:eastAsia="inter" w:cs="inter" w:ascii="inter" w:hAnsi="inter"/>
          <w:color w:val="000000"/>
        </w:rPr>
        <w:t xml:space="preserve"> stocks show the highest average returns (56.60%) but with significant volatility.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529138"/>
            <wp:effectExtent b="0" l="0" r="0" t="0"/>
            <wp:docPr id="7" name="image-00cac0c16ae87635d8d8c7b893a28eb988c5eced.png"/>
            <a:graphic>
              <a:graphicData uri="http://schemas.openxmlformats.org/drawingml/2006/picture">
                <pic:pic>
                  <pic:nvPicPr>
                    <pic:cNvPr id="7" name="image-00cac0c16ae87635d8d8c7b893a28eb988c5eced.png" descr="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291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Technical Analysis Radar Chart: Multi-dimensional technical indicator comparison for stocks with notable patterns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Technical Analysis Radar Chart</w:t>
      </w:r>
      <w:r>
        <w:rPr>
          <w:rFonts w:eastAsia="inter" w:cs="inter" w:ascii="inter" w:hAnsi="inter"/>
          <w:color w:val="000000"/>
        </w:rPr>
        <w:t xml:space="preserve">: Multi-dimensional comparison of 6 technical indicators across 8 stocks with notable patterns, providing a comprehensive view of each stock's technical profile.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8" name="image-e6d2b4772d3082699cc20cdca4efaa848d5d02a7.png"/>
            <a:graphic>
              <a:graphicData uri="http://schemas.openxmlformats.org/drawingml/2006/picture">
                <pic:pic>
                  <pic:nvPicPr>
                    <pic:cNvPr id="8" name="image-e6d2b4772d3082699cc20cdca4efaa848d5d02a7.pn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Comprehensive Stock Market Dashboard: Multi-panel analysis showing top performer trends, RSI distribution, risk-return relationship, and sector performance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Comprehensive Market Dashboard</w:t>
      </w:r>
      <w:r>
        <w:rPr>
          <w:rFonts w:eastAsia="inter" w:cs="inter" w:ascii="inter" w:hAnsi="inter"/>
          <w:color w:val="000000"/>
        </w:rPr>
        <w:t xml:space="preserve">: Four-panel dashboard combining top performer trends, RSI distribution analysis, risk-return relationships, and sector performance comparisons.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Key Insights from the Visualizations: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Performance Leaders</w:t>
      </w:r>
      <w:r>
        <w:rPr>
          <w:rFonts w:eastAsia="inter" w:cs="inter" w:ascii="inter" w:hAnsi="inter"/>
          <w:color w:val="000000"/>
          <w:sz w:val="21"/>
        </w:rPr>
        <w:t xml:space="preserve">: APP, PLTR, and GEV are standout performers with returns exceeding 200%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Sector Analysis</w:t>
      </w:r>
      <w:r>
        <w:rPr>
          <w:rFonts w:eastAsia="inter" w:cs="inter" w:ascii="inter" w:hAnsi="inter"/>
          <w:color w:val="000000"/>
          <w:sz w:val="21"/>
        </w:rPr>
        <w:t xml:space="preserve">: Financials and Technology sectors dominate performance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Technical Patterns</w:t>
      </w:r>
      <w:r>
        <w:rPr>
          <w:rFonts w:eastAsia="inter" w:cs="inter" w:ascii="inter" w:hAnsi="inter"/>
          <w:color w:val="000000"/>
          <w:sz w:val="21"/>
        </w:rPr>
        <w:t xml:space="preserve">: 18 stocks are currently in overbought territory (RSI &gt; 70)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Risk-Return Profile</w:t>
      </w:r>
      <w:r>
        <w:rPr>
          <w:rFonts w:eastAsia="inter" w:cs="inter" w:ascii="inter" w:hAnsi="inter"/>
          <w:color w:val="000000"/>
          <w:sz w:val="21"/>
        </w:rPr>
        <w:t xml:space="preserve">: Higher volatility doesn't always correlate with higher returns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Market Cap Effects</w:t>
      </w:r>
      <w:r>
        <w:rPr>
          <w:rFonts w:eastAsia="inter" w:cs="inter" w:ascii="inter" w:hAnsi="inter"/>
          <w:color w:val="000000"/>
          <w:sz w:val="21"/>
        </w:rPr>
        <w:t xml:space="preserve">: Large cap stocks show the most diverse return patterns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These visualizations provide a comprehensive view of market dynamics, technical indicators, and performance patterns across your dataset. Each chart offers unique insights into different aspects of the financial markets represented in your data.</w:t>
      </w:r>
      <w:r>
        <w:rPr>
          <w:rFonts w:eastAsia="inter" w:cs="inter" w:ascii="inter" w:hAnsi="inter"/>
          <w:color w:val="000000"/>
        </w:rPr>
        <w:br w:type="textWrapping"/>
      </w:r>
    </w:p>
    <w:p>
      <w:pPr>
        <w:spacing w:line="360" w:lineRule="auto"/>
        <w:jc w:val="center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0" w:name="fn1"/>
    <w:bookmarkEnd w:id="0"/>
    <w:p>
      <w:pPr>
        <w:numPr>
          <w:ilvl w:val="0"/>
          <w:numId w:val="3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basic_calculation_daily_0_20250829.csv </w:t>
      </w:r>
    </w:p>
    <w:bookmarkStart w:id="1" w:name="fn2"/>
    <w:bookmarkEnd w:id="1"/>
    <w:p>
      <w:pPr>
        <w:numPr>
          <w:ilvl w:val="0"/>
          <w:numId w:val="3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tradingview_universe.csv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abstractNum w:abstractNumId="2">
    <w:multiLevelType w:val="hybridMultilevel"/>
  </w:abstractNum>
  <w:abstractNum w:abstractNumId="3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en-US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ae03b20c8cc1b7e51f8960a7006cc4b08d445c6a.png" TargetMode="Internal"/><Relationship Id="rId6" Type="http://schemas.openxmlformats.org/officeDocument/2006/relationships/image" Target="media/image-7c9db8af3380059c3ab0c8302954035158230864.png" TargetMode="Internal"/><Relationship Id="rId7" Type="http://schemas.openxmlformats.org/officeDocument/2006/relationships/image" Target="media/image-fcac3c56e513516ec409442a358160e23543df8a.png" TargetMode="Internal"/><Relationship Id="rId8" Type="http://schemas.openxmlformats.org/officeDocument/2006/relationships/image" Target="media/image-47c2fbf0cf49f4d9a183690769336f99153a7e6f.png" TargetMode="Internal"/><Relationship Id="rId9" Type="http://schemas.openxmlformats.org/officeDocument/2006/relationships/image" Target="media/image-b298b3ddb842e119048beb6eb310050ee25ff67b.png" TargetMode="Internal"/><Relationship Id="rId10" Type="http://schemas.openxmlformats.org/officeDocument/2006/relationships/image" Target="media/image-23db88dfaf0fa54bbd2135165cb871f921ce3cb0.png" TargetMode="Internal"/><Relationship Id="rId11" Type="http://schemas.openxmlformats.org/officeDocument/2006/relationships/image" Target="media/image-00cac0c16ae87635d8d8c7b893a28eb988c5eced.png" TargetMode="Internal"/><Relationship Id="rId12" Type="http://schemas.openxmlformats.org/officeDocument/2006/relationships/image" Target="media/image-e6d2b4772d3082699cc20cdca4efaa848d5d02a7.png" TargetMode="In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2025-09-06T15:10:45.402Z</dcterms:created>
  <dcterms:modified xsi:type="dcterms:W3CDTF">2025-09-06T15:10:45.402Z</dcterms:modified>
</cp:coreProperties>
</file>