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2a2fd53a3b3eb30bcc2d50eed66d5c9988ba345a.png"/>
            <a:graphic>
              <a:graphicData uri="http://schemas.openxmlformats.org/drawingml/2006/picture">
                <pic:pic>
                  <pic:nvPicPr>
                    <pic:cNvPr id="1" name="image-2a2fd53a3b3eb30bcc2d50eed66d5c9988ba345a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can_you_find_more_infor_about_how_190273"/>
      <w:r>
        <w:rPr>
          <w:rFonts w:eastAsia="georgia" w:cs="georgia" w:ascii="georgia" w:hAnsi="georgia"/>
          <w:b/>
          <w:color w:val="000000"/>
          <w:sz w:val="39"/>
        </w:rPr>
        <w:t xml:space="preserve">can you find more infor about how jack bernstein make sure that the weeks allign over several years? Do we always have the same numbers of weeks in a year?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Jake Bernstein aligns weeks using </w:t>
      </w:r>
      <w:r>
        <w:rPr>
          <w:rFonts w:eastAsia="georgia" w:cs="georgia" w:ascii="georgia" w:hAnsi="georgia"/>
          <w:b/>
          <w:color w:val="000000"/>
        </w:rPr>
        <w:t xml:space="preserve">calendar dates</w:t>
      </w:r>
      <w:r>
        <w:rPr>
          <w:rFonts w:eastAsia="georgia" w:cs="georgia" w:ascii="georgia" w:hAnsi="georgia"/>
          <w:color w:val="000000"/>
        </w:rPr>
        <w:t xml:space="preserve"> rather than fixed trading-day numbers, so variable trading days per year don't break the analysis.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" w:name="fnref3"/>
      <w:bookmarkEnd w:id="3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4" w:name="fnref4"/>
      <w:bookmarkEnd w:id="4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5" w:name="fnref5"/>
      <w:bookmarkEnd w:id="5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bookmarkStart w:id="6" w:name="fnref6"/>
      <w:bookmarkEnd w:id="6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before="315" w:after="105" w:lineRule="auto"/>
        <w:ind w:left="-30"/>
        <w:jc w:val="left"/>
      </w:pPr>
      <w:bookmarkStart w:id="7" w:name="why_calendar_alignment_is_essential"/>
      <w:r>
        <w:rPr>
          <w:rFonts w:eastAsia="georgia" w:cs="georgia" w:ascii="georgia" w:hAnsi="georgia"/>
          <w:b/>
          <w:color w:val="000000"/>
          <w:sz w:val="24"/>
        </w:rPr>
        <w:t xml:space="preserve">Why calendar alignment is essential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No, years don't have the same number of weeks or trading days (52–53 weeks, ~252–260 trading days, plus holidays shift everything). He handles this by anchoring to </w:t>
      </w:r>
      <w:r>
        <w:rPr>
          <w:rFonts w:eastAsia="georgia" w:cs="georgia" w:ascii="georgia" w:hAnsi="georgia"/>
          <w:b/>
          <w:color w:val="000000"/>
        </w:rPr>
        <w:t xml:space="preserve">specific calendar dates</w:t>
      </w:r>
      <w:r>
        <w:rPr>
          <w:rFonts w:eastAsia="georgia" w:cs="georgia" w:ascii="georgia" w:hAnsi="georgia"/>
          <w:color w:val="000000"/>
        </w:rPr>
        <w:t xml:space="preserve"> or </w:t>
      </w:r>
      <w:r>
        <w:rPr>
          <w:rFonts w:eastAsia="georgia" w:cs="georgia" w:ascii="georgia" w:hAnsi="georgia"/>
          <w:b/>
          <w:color w:val="000000"/>
        </w:rPr>
        <w:t xml:space="preserve">calendar day-of-year</w:t>
      </w:r>
      <w:r>
        <w:rPr>
          <w:rFonts w:eastAsia="georgia" w:cs="georgia" w:ascii="georgia" w:hAnsi="georgia"/>
          <w:color w:val="000000"/>
        </w:rPr>
        <w:t xml:space="preserve"> rather than "week 40 of the year."</w:t>
      </w:r>
      <w:bookmarkStart w:id="8" w:name="fnref2_1"/>
      <w:bookmarkEnd w:id="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9" w:name="fnref3_1"/>
      <w:bookmarkEnd w:id="9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10" w:name="fnref4_1"/>
      <w:bookmarkEnd w:id="10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11" w:name="fnref5_1"/>
      <w:bookmarkEnd w:id="11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bookmarkStart w:id="12" w:name="fnref1_1"/>
      <w:bookmarkEnd w:id="1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His charts (like your DJIA 1901–1970 example) use </w:t>
      </w:r>
      <w:r>
        <w:rPr>
          <w:rFonts w:eastAsia="georgia" w:cs="georgia" w:ascii="georgia" w:hAnsi="georgia"/>
          <w:b/>
          <w:color w:val="000000"/>
          <w:sz w:val="21"/>
        </w:rPr>
        <w:t xml:space="preserve">calendar months/weeks</w:t>
      </w:r>
      <w:r>
        <w:rPr>
          <w:rFonts w:eastAsia="georgia" w:cs="georgia" w:ascii="georgia" w:hAnsi="georgia"/>
          <w:color w:val="000000"/>
          <w:sz w:val="21"/>
        </w:rPr>
        <w:t xml:space="preserve">, so "December week 1" always refers to the same time of year regardless of holidays or leap years.</w:t>
      </w:r>
      <w:bookmarkStart w:id="13" w:name="fnref3_2"/>
      <w:bookmarkEnd w:id="13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14" w:name="fnref6_1"/>
      <w:bookmarkEnd w:id="14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15" w:name="fnref1_2"/>
      <w:bookmarkEnd w:id="15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software (SeasonalTrader/HOST) searches </w:t>
      </w:r>
      <w:r>
        <w:rPr>
          <w:rFonts w:eastAsia="georgia" w:cs="georgia" w:ascii="georgia" w:hAnsi="georgia"/>
          <w:b/>
          <w:color w:val="000000"/>
          <w:sz w:val="21"/>
        </w:rPr>
        <w:t xml:space="preserve">millions/billions of entry/exit date combinations</w:t>
      </w:r>
      <w:r>
        <w:rPr>
          <w:rFonts w:eastAsia="georgia" w:cs="georgia" w:ascii="georgia" w:hAnsi="georgia"/>
          <w:color w:val="000000"/>
          <w:sz w:val="21"/>
        </w:rPr>
        <w:t xml:space="preserve"> tied to calendar dates, computing stats only for years where both dates exist and have data.</w:t>
      </w:r>
      <w:bookmarkStart w:id="16" w:name="fnref5_2"/>
      <w:bookmarkEnd w:id="16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17" w:name="fnref7"/>
      <w:bookmarkEnd w:id="17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18" w:name="fnref8"/>
      <w:bookmarkEnd w:id="18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 example: a trade from "Nov 20 to Dec 5" will have 15–20 valid years depending on trading days/holidays, but always covers the same calendar period.</w:t>
      </w:r>
      <w:bookmarkStart w:id="19" w:name="fnref9"/>
      <w:bookmarkEnd w:id="19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20" w:name="fnref7_1"/>
      <w:bookmarkEnd w:id="20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21" w:name="fnref5_3"/>
      <w:bookmarkEnd w:id="21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spacing w:line="360" w:before="315" w:after="105" w:lineRule="auto"/>
        <w:ind w:left="-30"/>
        <w:jc w:val="left"/>
      </w:pPr>
      <w:bookmarkStart w:id="22" w:name="how_he_ensures_proper_alignment_i_4e8443"/>
      <w:r>
        <w:rPr>
          <w:rFonts w:eastAsia="georgia" w:cs="georgia" w:ascii="georgia" w:hAnsi="georgia"/>
          <w:b/>
          <w:color w:val="000000"/>
          <w:sz w:val="24"/>
        </w:rPr>
        <w:t xml:space="preserve">How he ensures proper alignment in practice</w:t>
      </w:r>
      <w:bookmarkEnd w:id="2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From his books, videos, and software descriptions: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Calendar day-of-year (DOY)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Day 300 = roughly Oct 27, day 330 = roughly Nov 26, regardless of year.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 weekly charts: group days into "calendar weeks" (e.g., first Mon–Fri of November = week 45).</w:t>
      </w:r>
      <w:bookmarkStart w:id="23" w:name="fnref6_2"/>
      <w:bookmarkEnd w:id="23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24" w:name="fnref1_3"/>
      <w:bookmarkEnd w:id="24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25" w:name="fnref3_3"/>
      <w:bookmarkEnd w:id="25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Fixed calendar date windows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Searches define trades as "long from calendar date A to calendar date B" (e.g., "December 2nd through January 8th").</w:t>
      </w:r>
      <w:bookmarkStart w:id="26" w:name="fnref9_1"/>
      <w:bookmarkEnd w:id="26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Software skips years where date A or B fell on a non‑trading day, or uses "next available trading day."</w:t>
      </w:r>
      <w:bookmarkStart w:id="27" w:name="fnref8_1"/>
      <w:bookmarkEnd w:id="27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28" w:name="fnref5_4"/>
      <w:bookmarkEnd w:id="28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Handling variable days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No padding or interpolation</w:t>
      </w:r>
      <w:r>
        <w:rPr>
          <w:rFonts w:eastAsia="georgia" w:cs="georgia" w:ascii="georgia" w:hAnsi="georgia"/>
          <w:color w:val="000000"/>
          <w:sz w:val="21"/>
        </w:rPr>
        <w:t xml:space="preserve">: if a year lacks data for a specific DOY, that year is excluded from that window's stats.</w:t>
      </w:r>
      <w:bookmarkStart w:id="29" w:name="fnref5_5"/>
      <w:bookmarkEnd w:id="29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30" w:name="fnref8_2"/>
      <w:bookmarkEnd w:id="30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Minimum years filter</w:t>
      </w:r>
      <w:r>
        <w:rPr>
          <w:rFonts w:eastAsia="georgia" w:cs="georgia" w:ascii="georgia" w:hAnsi="georgia"/>
          <w:color w:val="000000"/>
          <w:sz w:val="21"/>
        </w:rPr>
        <w:t xml:space="preserve">: requires enough valid years (e.g., ≥15–20) for statistical significance.</w:t>
      </w:r>
      <w:bookmarkStart w:id="31" w:name="fnref7_2"/>
      <w:bookmarkEnd w:id="31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32" w:name="fnref8_3"/>
      <w:bookmarkEnd w:id="32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33" w:name="fnref5_6"/>
      <w:bookmarkEnd w:id="33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 composites: average only across years that have the specific calendar week/DOY.</w:t>
      </w:r>
      <w:bookmarkStart w:id="34" w:name="fnref1_4"/>
      <w:bookmarkEnd w:id="34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35" w:name="fnref3_4"/>
      <w:bookmarkEnd w:id="35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36" w:name="fnref6_3"/>
      <w:bookmarkEnd w:id="36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spacing w:line="360" w:before="315" w:after="105" w:lineRule="auto"/>
        <w:ind w:left="-30"/>
        <w:jc w:val="left"/>
      </w:pPr>
      <w:bookmarkStart w:id="37" w:name="python_implementation_for_alignment"/>
      <w:r>
        <w:rPr>
          <w:rFonts w:eastAsia="georgia" w:cs="georgia" w:ascii="georgia" w:hAnsi="georgia"/>
          <w:b/>
          <w:color w:val="000000"/>
          <w:sz w:val="24"/>
        </w:rPr>
        <w:t xml:space="preserve">Python implementation for alignment</w:t>
      </w:r>
      <w:bookmarkEnd w:id="3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To replicate exactly: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After loading df = yf.download('AA', start='1980-01-01')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df[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'year'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= df.index.year</w:t>
        <w:br/>
        <w:t xml:space="preserve">df[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'calendar_doy'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= df.index.dayofyear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1-366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df[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'calendar_week'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= df.index.isocalendar().week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ISO week 1-53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df[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'calendar_month'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= df.index.month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For weekly resampling (calendar‑aligned)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df_weekly = df.groupby([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'calendar_year'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'calendar_week'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]).last()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Last trading day of each calendar week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Seasonal curve</w:t>
      </w:r>
      <w:r>
        <w:rPr>
          <w:rFonts w:eastAsia="georgia" w:cs="georgia" w:ascii="georgia" w:hAnsi="georgia"/>
          <w:color w:val="000000"/>
          <w:sz w:val="21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avg_norm_by_calendar_week = df_weekly.groupby('calendar_week')['norm_close'].mean()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  <w:bookmarkStart w:id="38" w:name="fnref3_5"/>
      <w:bookmarkEnd w:id="38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39" w:name="fnref6_4"/>
      <w:bookmarkEnd w:id="39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40" w:name="fnref1_5"/>
      <w:bookmarkEnd w:id="40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Window search</w:t>
      </w:r>
      <w:r>
        <w:rPr>
          <w:rFonts w:eastAsia="georgia" w:cs="georgia" w:ascii="georgia" w:hAnsi="georgia"/>
          <w:color w:val="000000"/>
          <w:sz w:val="21"/>
        </w:rPr>
        <w:t xml:space="preserve">: loop over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calendar_doy_entry</w:t>
      </w:r>
      <w:r>
        <w:rPr>
          <w:rFonts w:eastAsia="georgia" w:cs="georgia" w:ascii="georgia" w:hAnsi="georgia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calendar_doy_exit</w:t>
      </w:r>
      <w:r>
        <w:rPr>
          <w:rFonts w:eastAsia="georgia" w:cs="georgia" w:ascii="georgia" w:hAnsi="georgia"/>
          <w:color w:val="000000"/>
          <w:sz w:val="21"/>
        </w:rPr>
        <w:t xml:space="preserve">, compute returns only for years where both DOYs exist.</w:t>
      </w:r>
      <w:bookmarkStart w:id="41" w:name="fnref8_4"/>
      <w:bookmarkEnd w:id="41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42" w:name="fnref5_7"/>
      <w:bookmarkEnd w:id="42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Win rate for week k</w:t>
      </w:r>
      <w:r>
        <w:rPr>
          <w:rFonts w:eastAsia="georgia" w:cs="georgia" w:ascii="georgia" w:hAnsi="georgia"/>
          <w:color w:val="000000"/>
          <w:sz w:val="21"/>
        </w:rPr>
        <w:t xml:space="preserve">: percent of years where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close[calendar_week=k+1] &gt; close[calendar_week=k]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  <w:bookmarkStart w:id="43" w:name="fnref6_5"/>
      <w:bookmarkEnd w:id="43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44" w:name="fnref3_6"/>
      <w:bookmarkEnd w:id="44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ensures "week 48" always means late December, even if 2020 had 53 weeks or 2026 had extra holidays.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chart you uploaded follows this: DJIA weeks are strictly calendar‑aligned, with the bottom win rates computed as "percent of years up from this calendar week to next."</w:t>
      </w:r>
      <w:bookmarkStart w:id="45" w:name="fnref1_6"/>
      <w:bookmarkEnd w:id="45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46" w:name="fnref3_7"/>
      <w:bookmarkEnd w:id="46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47" w:name="fnref6_6"/>
      <w:bookmarkEnd w:id="47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Want me to outline the exact code to generate that DJIA‑style chart for AA using calendar weeks?</w:t>
      </w:r>
      <w:bookmarkStart w:id="48" w:name="fnref6_7"/>
      <w:bookmarkEnd w:id="48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49" w:name="fn1"/>
    <w:bookmarkEnd w:id="49"/>
    <w:p>
      <w:pPr>
        <w:numPr>
          <w:ilvl w:val="0"/>
          <w:numId w:val="5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https://www.youtube.com/watch?v=rE7ZzJG0kEo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0" w:name="fn2"/>
    <w:bookmarkEnd w:id="50"/>
    <w:p>
      <w:pPr>
        <w:numPr>
          <w:ilvl w:val="0"/>
          <w:numId w:val="5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https://www.wiley-vch.de/en/areas-interest/finance-economics-law/finance-investments-13fi/trading-13fi4/seasonality-978-0-471-16811-9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1" w:name="fn3"/>
    <w:bookmarkEnd w:id="51"/>
    <w:p>
      <w:pPr>
        <w:numPr>
          <w:ilvl w:val="0"/>
          <w:numId w:val="5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https://www.youtube.com/watch?v=UskzY4yXS0Y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2" w:name="fn4"/>
    <w:bookmarkEnd w:id="52"/>
    <w:p>
      <w:pPr>
        <w:numPr>
          <w:ilvl w:val="0"/>
          <w:numId w:val="5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https://www.youtube.com/watch?v=jZmocs7kSUE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3" w:name="fn5"/>
    <w:bookmarkEnd w:id="53"/>
    <w:p>
      <w:pPr>
        <w:numPr>
          <w:ilvl w:val="0"/>
          <w:numId w:val="5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https://seasonaltrader.com/ST_Help/Content/Wecome.htm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4" w:name="fn6"/>
    <w:bookmarkEnd w:id="54"/>
    <w:p>
      <w:pPr>
        <w:numPr>
          <w:ilvl w:val="0"/>
          <w:numId w:val="5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charts_template_jack_bernstein.jpg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5" w:name="fn7"/>
    <w:bookmarkEnd w:id="55"/>
    <w:p>
      <w:pPr>
        <w:numPr>
          <w:ilvl w:val="0"/>
          <w:numId w:val="5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http://trade-futures.com/traders_collections/traders_collections_SALE.html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6" w:name="fn8"/>
    <w:bookmarkEnd w:id="56"/>
    <w:p>
      <w:pPr>
        <w:numPr>
          <w:ilvl w:val="0"/>
          <w:numId w:val="5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https://seasonaltrader.com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7" w:name="fn9"/>
    <w:bookmarkEnd w:id="57"/>
    <w:p>
      <w:pPr>
        <w:numPr>
          <w:ilvl w:val="0"/>
          <w:numId w:val="5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https://www.youtube.com/watch?v=c2Qc3SCOZjs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8" w:name="fn10"/>
    <w:bookmarkEnd w:id="58"/>
    <w:p>
      <w:pPr>
        <w:numPr>
          <w:ilvl w:val="0"/>
          <w:numId w:val="5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https://trade-futures.com/seasonal_trading_2016/seasonal_trading_2016_3.html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9" w:name="fn11"/>
    <w:bookmarkEnd w:id="59"/>
    <w:p>
      <w:pPr>
        <w:numPr>
          <w:ilvl w:val="0"/>
          <w:numId w:val="5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https://books.google.com/books/about/Seasonality.html?id=PQmICdI9apIC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0" w:name="fn12"/>
    <w:bookmarkEnd w:id="60"/>
    <w:p>
      <w:pPr>
        <w:numPr>
          <w:ilvl w:val="0"/>
          <w:numId w:val="5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https://www.scribd.com/document/406979261/Jake-Bernstein-s-Seasonal-Trader-s-Bible-The-Best-of-the-Best-in-Seasonal-Trades-Jake-Bernstein-1996-pdf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1" w:name="fn13"/>
    <w:bookmarkEnd w:id="61"/>
    <w:p>
      <w:pPr>
        <w:numPr>
          <w:ilvl w:val="0"/>
          <w:numId w:val="5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https://www.youtube.com/watch?v=dU_7pRx4W-E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2" w:name="fn14"/>
    <w:bookmarkEnd w:id="62"/>
    <w:p>
      <w:pPr>
        <w:numPr>
          <w:ilvl w:val="0"/>
          <w:numId w:val="5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https://www.scribd.com/document/806838623/Speck-Seasonality-Seasonax-EN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3" w:name="fn15"/>
    <w:bookmarkEnd w:id="63"/>
    <w:p>
      <w:pPr>
        <w:numPr>
          <w:ilvl w:val="0"/>
          <w:numId w:val="5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https://www.youtube.com/shorts/YP1Rr3rZaHo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4" w:name="fn16"/>
    <w:bookmarkEnd w:id="64"/>
    <w:p>
      <w:pPr>
        <w:numPr>
          <w:ilvl w:val="0"/>
          <w:numId w:val="5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https://www.youtube.com/watch?v=F76Q6qDSsR4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2a2fd53a3b3eb30bcc2d50eed66d5c9988ba345a.png" TargetMode="Internal"/><Relationship Id="rId6" Type="http://schemas.openxmlformats.org/officeDocument/2006/relationships/hyperlink" Target="https://www.youtube.com/watch?v=rE7ZzJG0kEo" TargetMode="External"/><Relationship Id="rId7" Type="http://schemas.openxmlformats.org/officeDocument/2006/relationships/hyperlink" Target="https://www.wiley-vch.de/en/areas-interest/finance-economics-law/finance-investments-13fi/trading-13fi4/seasonality-978-0-471-16811-9" TargetMode="External"/><Relationship Id="rId8" Type="http://schemas.openxmlformats.org/officeDocument/2006/relationships/hyperlink" Target="https://www.youtube.com/watch?v=UskzY4yXS0Y" TargetMode="External"/><Relationship Id="rId9" Type="http://schemas.openxmlformats.org/officeDocument/2006/relationships/hyperlink" Target="https://www.youtube.com/watch?v=jZmocs7kSUE" TargetMode="External"/><Relationship Id="rId10" Type="http://schemas.openxmlformats.org/officeDocument/2006/relationships/hyperlink" Target="https://seasonaltrader.com/ST_Help/Content/Wecome.htm" TargetMode="External"/><Relationship Id="rId11" Type="http://schemas.openxmlformats.org/officeDocument/2006/relationships/hyperlink" Target="http://trade-futures.com/traders_collections/traders_collections_SALE.html" TargetMode="External"/><Relationship Id="rId12" Type="http://schemas.openxmlformats.org/officeDocument/2006/relationships/hyperlink" Target="https://seasonaltrader.com" TargetMode="External"/><Relationship Id="rId13" Type="http://schemas.openxmlformats.org/officeDocument/2006/relationships/hyperlink" Target="https://www.youtube.com/watch?v=c2Qc3SCOZjs" TargetMode="External"/><Relationship Id="rId14" Type="http://schemas.openxmlformats.org/officeDocument/2006/relationships/hyperlink" Target="https://trade-futures.com/seasonal_trading_2016/seasonal_trading_2016_3.html" TargetMode="External"/><Relationship Id="rId15" Type="http://schemas.openxmlformats.org/officeDocument/2006/relationships/hyperlink" Target="https://books.google.com/books/about/Seasonality.html?id=PQmICdI9apIC" TargetMode="External"/><Relationship Id="rId16" Type="http://schemas.openxmlformats.org/officeDocument/2006/relationships/hyperlink" Target="https://www.scribd.com/document/406979261/Jake-Bernstein-s-Seasonal-Trader-s-Bible-The-Best-of-the-Best-in-Seasonal-Trades-Jake-Bernstein-1996-pdf" TargetMode="External"/><Relationship Id="rId17" Type="http://schemas.openxmlformats.org/officeDocument/2006/relationships/hyperlink" Target="https://www.youtube.com/watch?v=dU_7pRx4W-E" TargetMode="External"/><Relationship Id="rId18" Type="http://schemas.openxmlformats.org/officeDocument/2006/relationships/hyperlink" Target="https://www.scribd.com/document/806838623/Speck-Seasonality-Seasonax-EN" TargetMode="External"/><Relationship Id="rId19" Type="http://schemas.openxmlformats.org/officeDocument/2006/relationships/hyperlink" Target="https://www.youtube.com/shorts/YP1Rr3rZaHo" TargetMode="External"/><Relationship Id="rId20" Type="http://schemas.openxmlformats.org/officeDocument/2006/relationships/hyperlink" Target="https://www.youtube.com/watch?v=F76Q6qDSsR4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2026-03-27T06:30:11.580Z</dcterms:created>
  <dcterms:modified xsi:type="dcterms:W3CDTF">2026-03-27T06:30:11.580Z</dcterms:modified>
</cp:coreProperties>
</file>