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e5b98c0199df2b5340ed84350e0d88b3c7ec1e2.png"/>
            <a:graphic>
              <a:graphicData uri="http://schemas.openxmlformats.org/drawingml/2006/picture">
                <pic:pic>
                  <pic:nvPicPr>
                    <pic:cNvPr id="1" name="image-ee5b98c0199df2b5340ed84350e0d88b3c7ec1e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an_you_give_me_more_infro_on_how_c92218"/>
      <w:r>
        <w:rPr>
          <w:rFonts w:eastAsia="georgia" w:cs="georgia" w:ascii="georgia" w:hAnsi="georgia"/>
          <w:b/>
          <w:color w:val="000000"/>
          <w:sz w:val="39"/>
        </w:rPr>
        <w:t xml:space="preserve">can you give me more infro on how to generate such a program in python? I would like to have a workflow how to implement this. Lets say we start with ALCoa: what are the steps that he goes through?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can think of his process as a pipeline you can reproduce in Python: find the seasonal window, quantify it, add a technical trigger, then wrap it into a rules-based trade for Alcoa.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5" w:name="fnref5"/>
      <w:bookmarkEnd w:id="5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6" w:name="fnref6"/>
      <w:bookmarkEnd w:id="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7" w:name="conceptual_steps_jake_follows_alc_60535a"/>
      <w:r>
        <w:rPr>
          <w:rFonts w:eastAsia="georgia" w:cs="georgia" w:ascii="georgia" w:hAnsi="georgia"/>
          <w:b/>
          <w:color w:val="000000"/>
          <w:sz w:val="24"/>
        </w:rPr>
        <w:t xml:space="preserve">Conceptual steps Jake follows (Alcoa example)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From his Alcoa seasonal chart webinar and HOST/SeasonalTrader descriptions, the workflow is roughly:</w:t>
      </w:r>
      <w:bookmarkStart w:id="8" w:name="fnref2_1"/>
      <w:bookmarkEnd w:id="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9" w:name="fnref3_1"/>
      <w:bookmarkEnd w:id="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0" w:name="fnref4_1"/>
      <w:bookmarkEnd w:id="1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1" w:name="fnref5_1"/>
      <w:bookmarkEnd w:id="11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2" w:name="fnref6_1"/>
      <w:bookmarkEnd w:id="12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3" w:name="fnref1_1"/>
      <w:bookmarkEnd w:id="1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Define the market and data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Pick Alcoa (AA) and gather many years of daily prices (ideally 20+ years).</w:t>
      </w:r>
      <w:bookmarkStart w:id="14" w:name="fnref3_2"/>
      <w:bookmarkEnd w:id="1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5" w:name="fnref4_2"/>
      <w:bookmarkEnd w:id="1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6" w:name="fnref2_2"/>
      <w:bookmarkEnd w:id="1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Normalize each year (e.g., make the yearly high 100 and low 0) to see the average seasonal curve across years.</w:t>
      </w:r>
      <w:bookmarkStart w:id="17" w:name="fnref1_2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8" w:name="fnref2_3"/>
      <w:bookmarkEnd w:id="1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Search for high‑odds date windows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a program (HOST/SeasonalTrader) that scans millions of entry/exit date combinations for stocks and futures.</w:t>
      </w:r>
      <w:bookmarkStart w:id="19" w:name="fnref4_3"/>
      <w:bookmarkEnd w:id="1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0" w:name="fnref6_2"/>
      <w:bookmarkEnd w:id="2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1" w:name="fnref3_3"/>
      <w:bookmarkEnd w:id="2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candidate window (say, buy AA from day X to day Y) it computes: percent of years profitable, average gain, average loss, profit factor, max drawdown, number of losing years in a row, etc.</w:t>
      </w:r>
      <w:bookmarkStart w:id="22" w:name="fnref5_2"/>
      <w:bookmarkEnd w:id="22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3" w:name="fnref6_3"/>
      <w:bookmarkEnd w:id="23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4" w:name="fnref3_4"/>
      <w:bookmarkEnd w:id="2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5" w:name="fnref4_4"/>
      <w:bookmarkEnd w:id="2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Filter to “high odds” trades: high percentage winners and good P/L ratio, plus reasonable trade length.</w:t>
      </w:r>
      <w:bookmarkStart w:id="26" w:name="fnref6_4"/>
      <w:bookmarkEnd w:id="26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7" w:name="fnref3_5"/>
      <w:bookmarkEnd w:id="2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8" w:name="fnref4_5"/>
      <w:bookmarkEnd w:id="2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Turn a seasonal window into a Key Date Trade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Each selected window becomes a Key Date Trade with: exact entry date, exact exit date, specified stop loss type/size (close‑only, trailing, etc.), and full historical track record.</w:t>
      </w:r>
      <w:bookmarkStart w:id="29" w:name="fnref4_6"/>
      <w:bookmarkEnd w:id="2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30" w:name="fnref5_3"/>
      <w:bookmarkEnd w:id="30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31" w:name="fnref6_5"/>
      <w:bookmarkEnd w:id="31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Alcoa he shows arrows and probabilities like “64% and 70% probabilities” for certain periods, based on the closing price at the end of the window.</w:t>
      </w:r>
      <w:bookmarkStart w:id="32" w:name="fnref2_4"/>
      <w:bookmarkEnd w:id="3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Add Setup–Trigger–Follow‑through logic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Setup: the seasonal pattern itself (e.g., AA tends to rise between certain calendar dates with X% accuracy).</w:t>
      </w:r>
      <w:bookmarkStart w:id="33" w:name="fnref7"/>
      <w:bookmarkEnd w:id="33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34" w:name="fnref8"/>
      <w:bookmarkEnd w:id="34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5" w:name="fnref1_3"/>
      <w:bookmarkEnd w:id="3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6" w:name="fnref2_5"/>
      <w:bookmarkEnd w:id="3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Trigger: some technical event confirming the turn inside that window (e.g., breakout, indicator signal, cycle low confirmation).</w:t>
      </w:r>
      <w:bookmarkStart w:id="37" w:name="fnref9"/>
      <w:bookmarkEnd w:id="37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8" w:name="fnref8_1"/>
      <w:bookmarkEnd w:id="38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9" w:name="fnref10"/>
      <w:bookmarkEnd w:id="39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40" w:name="fnref7_1"/>
      <w:bookmarkEnd w:id="4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41" w:name="fnref1_4"/>
      <w:bookmarkEnd w:id="4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Follow‑through: predefined target, stop, and exit rules, often anchored to the seasonal exit date and historical excursions.</w:t>
      </w:r>
      <w:bookmarkStart w:id="42" w:name="fnref8_2"/>
      <w:bookmarkEnd w:id="42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43" w:name="fnref9_1"/>
      <w:bookmarkEnd w:id="43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44" w:name="fnref5_4"/>
      <w:bookmarkEnd w:id="44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45" w:name="fnref6_6"/>
      <w:bookmarkEnd w:id="45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46" w:name="fnref1_5"/>
      <w:bookmarkEnd w:id="4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7" w:name="fnref4_7"/>
      <w:bookmarkEnd w:id="4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Optionally, apply “learning models” to refine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 mentions using algorithmic/learning models to choose between multiple candidate seasonal trades and tweak entry/exit within the window, still staying fully rules‑based.</w:t>
      </w:r>
      <w:bookmarkStart w:id="48" w:name="fnref5_5"/>
      <w:bookmarkEnd w:id="48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49" w:name="python_implementation_workflow_fr_758f10"/>
      <w:r>
        <w:rPr>
          <w:rFonts w:eastAsia="georgia" w:cs="georgia" w:ascii="georgia" w:hAnsi="georgia"/>
          <w:b/>
          <w:color w:val="000000"/>
          <w:sz w:val="24"/>
        </w:rPr>
        <w:t xml:space="preserve">Python implementation workflow (from scratch)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Below is a practical workflow you can implement in Python for Alcoa; every step can later be generalized to any stock.</w:t>
      </w:r>
    </w:p>
    <w:p>
      <w:pPr>
        <w:spacing w:line="360" w:before="315" w:after="105" w:lineRule="auto"/>
        <w:ind w:left="-30"/>
        <w:jc w:val="left"/>
      </w:pPr>
      <w:bookmarkStart w:id="50" w:name="bm_1_data_collection_and_preprocessing"/>
      <w:r>
        <w:rPr>
          <w:rFonts w:eastAsia="georgia" w:cs="georgia" w:ascii="georgia" w:hAnsi="georgia"/>
          <w:b/>
          <w:color w:val="000000"/>
          <w:sz w:val="24"/>
        </w:rPr>
        <w:t xml:space="preserve">1. Data collection and preprocessing</w:t>
      </w:r>
      <w:bookmarkEnd w:id="50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Fetch daily OHLCV for AA for as many years as possible (e.g., via yfinance or another data source).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Clean and align the data: handle splits, adjust for dividends if you want total-return seasonality.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date‑related columns: year, month, day‑of‑year (or trading‑day index within each year).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gives you a panel like: date, year, day_index, open, high, low, close, volume.</w:t>
      </w:r>
    </w:p>
    <w:p>
      <w:pPr>
        <w:spacing w:line="360" w:before="315" w:after="105" w:lineRule="auto"/>
        <w:ind w:left="-30"/>
        <w:jc w:val="left"/>
      </w:pPr>
      <w:bookmarkStart w:id="51" w:name="bm_2_build_seasonal_curves_and_visualize"/>
      <w:r>
        <w:rPr>
          <w:rFonts w:eastAsia="georgia" w:cs="georgia" w:ascii="georgia" w:hAnsi="georgia"/>
          <w:b/>
          <w:color w:val="000000"/>
          <w:sz w:val="24"/>
        </w:rPr>
        <w:t xml:space="preserve">2. Build seasonal curves and visualize</w:t>
      </w:r>
      <w:bookmarkEnd w:id="51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year, map days to a common index: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 A: calendar day‑of‑year (1–365).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 B: “trading day n of the year” to avoid non‑trading gaps.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Normalize each year if you want to replicate his “0–100” charts: </w:t>
      </w:r>
      <m:oMath>
        <m:r>
          <m:rPr>
            <m:sty m:val="i"/>
          </m:rPr>
          <w:rPr>
            <w:color w:val="000000"/>
            <w:sz w:val="21"/>
          </w:rPr>
          <m:t>n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i"/>
          </m:rPr>
          <w:rPr>
            <w:color w:val="000000"/>
            <w:sz w:val="21"/>
          </w:rPr>
          <m:t>m</m:t>
        </m:r>
        <m:r>
          <m:rPr>
            <m:sty m:val="p"/>
          </m:rPr>
          <w:rPr>
            <w:color w:val="000000"/>
            <w:sz w:val="21"/>
          </w:rPr>
          <m:t>_</m:t>
        </m:r>
        <m:r>
          <m:rPr>
            <m:sty m:val="i"/>
          </m:rPr>
          <w:rPr>
            <w:color w:val="000000"/>
            <w:sz w:val="21"/>
          </w:rPr>
          <m:t>p</m:t>
        </m:r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i"/>
          </m:rPr>
          <w:rPr>
            <w:color w:val="000000"/>
            <w:sz w:val="21"/>
          </w:rPr>
          <m:t>i</m:t>
        </m:r>
        <m:r>
          <m:rPr>
            <m:sty m:val="i"/>
          </m:rPr>
          <w:rPr>
            <w:color w:val="000000"/>
            <w:sz w:val="21"/>
          </w:rPr>
          <m:t>c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p</m:t>
        </m:r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i"/>
          </m:rPr>
          <w:rPr>
            <w:color w:val="000000"/>
            <w:sz w:val="21"/>
          </w:rPr>
          <m:t>i</m:t>
        </m:r>
        <m:r>
          <m:rPr>
            <m:sty m:val="i"/>
          </m:rPr>
          <w:rPr>
            <w:color w:val="000000"/>
            <w:sz w:val="21"/>
          </w:rPr>
          <m:t>c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i"/>
          </m:rPr>
          <w:rPr>
            <w:color w:val="000000"/>
            <w:sz w:val="21"/>
          </w:rPr>
          <m:t>l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i"/>
          </m:rPr>
          <w:rPr>
            <w:color w:val="000000"/>
            <w:sz w:val="21"/>
          </w:rPr>
          <m:t>w</m:t>
        </m:r>
        <m:r>
          <m:rPr>
            <m:sty m:val="p"/>
          </m:rPr>
          <w:rPr>
            <w:color w:val="000000"/>
            <w:sz w:val="21"/>
          </w:rPr>
          <m:t>_</m:t>
        </m:r>
        <m:r>
          <m:rPr>
            <m:sty m:val="i"/>
          </m:rPr>
          <w:rPr>
            <w:color w:val="000000"/>
            <w:sz w:val="21"/>
          </w:rPr>
          <m:t>y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i"/>
          </m:rPr>
          <w:rPr>
            <w:color w:val="000000"/>
            <w:sz w:val="21"/>
          </w:rPr>
          <m:t>a</m:t>
        </m:r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/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h</m:t>
        </m:r>
        <m:r>
          <m:rPr>
            <m:sty m:val="i"/>
          </m:rPr>
          <w:rPr>
            <w:color w:val="000000"/>
            <w:sz w:val="21"/>
          </w:rPr>
          <m:t>i</m:t>
        </m:r>
        <m:r>
          <m:rPr>
            <m:sty m:val="i"/>
          </m:rPr>
          <w:rPr>
            <w:color w:val="000000"/>
            <w:sz w:val="21"/>
          </w:rPr>
          <m:t>g</m:t>
        </m:r>
        <m:r>
          <m:rPr>
            <m:sty m:val="i"/>
          </m:rPr>
          <w:rPr>
            <w:color w:val="000000"/>
            <w:sz w:val="21"/>
          </w:rPr>
          <m:t>h</m:t>
        </m:r>
        <m:r>
          <m:rPr>
            <m:sty m:val="p"/>
          </m:rPr>
          <w:rPr>
            <w:color w:val="000000"/>
            <w:sz w:val="21"/>
          </w:rPr>
          <m:t>_</m:t>
        </m:r>
        <m:r>
          <m:rPr>
            <m:sty m:val="i"/>
          </m:rPr>
          <w:rPr>
            <w:color w:val="000000"/>
            <w:sz w:val="21"/>
          </w:rPr>
          <m:t>y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i"/>
          </m:rPr>
          <w:rPr>
            <w:color w:val="000000"/>
            <w:sz w:val="21"/>
          </w:rPr>
          <m:t>a</m:t>
        </m:r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i"/>
          </m:rPr>
          <w:rPr>
            <w:color w:val="000000"/>
            <w:sz w:val="21"/>
          </w:rPr>
          <m:t>l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i"/>
          </m:rPr>
          <w:rPr>
            <w:color w:val="000000"/>
            <w:sz w:val="21"/>
          </w:rPr>
          <m:t>w</m:t>
        </m:r>
        <m:r>
          <m:rPr>
            <m:sty m:val="p"/>
          </m:rPr>
          <w:rPr>
            <w:color w:val="000000"/>
            <w:sz w:val="21"/>
          </w:rPr>
          <m:t>_</m:t>
        </m:r>
        <m:r>
          <m:rPr>
            <m:sty m:val="i"/>
          </m:rPr>
          <w:rPr>
            <w:color w:val="000000"/>
            <w:sz w:val="21"/>
          </w:rPr>
          <m:t>y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i"/>
          </m:rPr>
          <w:rPr>
            <w:color w:val="000000"/>
            <w:sz w:val="21"/>
          </w:rPr>
          <m:t>a</m:t>
        </m:r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52" w:name="fnref1_6"/>
      <w:bookmarkEnd w:id="5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53" w:name="fnref2_6"/>
      <w:bookmarkEnd w:id="5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Compute the average normalized curve across years and plot it.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This lets you visually see where AA tends to bottom or top on average, like his Alcoa seasonal chart.</w:t>
      </w:r>
      <w:bookmarkStart w:id="54" w:name="fnref2_7"/>
      <w:bookmarkEnd w:id="5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step reproduces the “it’s not rocket science” chart where you can see typical up/down periods.</w:t>
      </w:r>
    </w:p>
    <w:p>
      <w:pPr>
        <w:spacing w:line="360" w:before="315" w:after="105" w:lineRule="auto"/>
        <w:ind w:left="-30"/>
        <w:jc w:val="left"/>
      </w:pPr>
      <w:bookmarkStart w:id="55" w:name="bm_3_exhaustive_date_window_search_alcoa"/>
      <w:r>
        <w:rPr>
          <w:rFonts w:eastAsia="georgia" w:cs="georgia" w:ascii="georgia" w:hAnsi="georgia"/>
          <w:b/>
          <w:color w:val="000000"/>
          <w:sz w:val="24"/>
        </w:rPr>
        <w:t xml:space="preserve">3. Exhaustive date‑window search (Alcoa)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you mimic HOST/SeasonalTrader search.</w:t>
      </w:r>
      <w:bookmarkStart w:id="56" w:name="fnref3_6"/>
      <w:bookmarkEnd w:id="56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57" w:name="fnref6_7"/>
      <w:bookmarkEnd w:id="57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58" w:name="fnref4_8"/>
      <w:bookmarkEnd w:id="58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Define a space of possible windows: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example, entry_day from trading day 5 to 240, exit_day from entry_day+5 to entry_day+60.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every (entry_day, exit_day):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year where both days exist, compute trade return:</w:t>
      </w:r>
    </w:p>
    <w:p>
      <w:pPr>
        <w:numPr>
          <w:ilvl w:val="2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Long: </w:t>
      </w:r>
      <m:oMath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c</m:t>
        </m:r>
        <m:r>
          <m:rPr>
            <m:sty m:val="i"/>
          </m:rPr>
          <w:rPr>
            <w:color w:val="000000"/>
            <w:sz w:val="21"/>
          </w:rPr>
          <m:t>l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i"/>
          </m:rPr>
          <w:rPr>
            <w:color w:val="000000"/>
            <w:sz w:val="21"/>
          </w:rPr>
          <m:t>s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e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e</m:t>
            </m:r>
            <m:r>
              <m:rPr>
                <m:sty m:val="i"/>
              </m:rPr>
              <w:rPr>
                <w:color w:val="000000"/>
                <w:sz w:val="21"/>
              </w:rPr>
              <m:t>x</m:t>
            </m:r>
            <m:r>
              <m:rPr>
                <m:sty m:val="i"/>
              </m:rPr>
              <w:rPr>
                <w:color w:val="000000"/>
                <w:sz w:val="21"/>
              </w:rPr>
              <m:t>i</m:t>
            </m:r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sub>
        </m:sSub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i"/>
          </m:rPr>
          <w:rPr>
            <w:color w:val="000000"/>
            <w:sz w:val="21"/>
          </w:rPr>
          <m:t>c</m:t>
        </m:r>
        <m:r>
          <m:rPr>
            <m:sty m:val="i"/>
          </m:rPr>
          <w:rPr>
            <w:color w:val="000000"/>
            <w:sz w:val="21"/>
          </w:rPr>
          <m:t>l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i"/>
          </m:rPr>
          <w:rPr>
            <w:color w:val="000000"/>
            <w:sz w:val="21"/>
          </w:rPr>
          <m:t>s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e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e</m:t>
            </m:r>
            <m:r>
              <m:rPr>
                <m:sty m:val="i"/>
              </m:rPr>
              <w:rPr>
                <w:color w:val="000000"/>
                <w:sz w:val="21"/>
              </w:rPr>
              <m:t>n</m:t>
            </m:r>
            <m:r>
              <m:rPr>
                <m:sty m:val="i"/>
              </m:rPr>
              <w:rPr>
                <w:color w:val="000000"/>
                <w:sz w:val="21"/>
              </w:rPr>
              <m:t>t</m:t>
            </m:r>
            <m:r>
              <m:rPr>
                <m:sty m:val="i"/>
              </m:rPr>
              <w:rPr>
                <w:color w:val="000000"/>
                <w:sz w:val="21"/>
              </w:rPr>
              <m:t>r</m:t>
            </m:r>
            <m:r>
              <m:rPr>
                <m:sty m:val="i"/>
              </m:rPr>
              <w:rPr>
                <w:color w:val="000000"/>
                <w:sz w:val="21"/>
              </w:rPr>
              <m:t>y</m:t>
            </m:r>
          </m:sub>
        </m:sSub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/</m:t>
        </m:r>
        <m:r>
          <m:rPr>
            <m:sty m:val="i"/>
          </m:rPr>
          <w:rPr>
            <w:color w:val="000000"/>
            <w:sz w:val="21"/>
          </w:rPr>
          <m:t>c</m:t>
        </m:r>
        <m:r>
          <m:rPr>
            <m:sty m:val="i"/>
          </m:rPr>
          <w:rPr>
            <w:color w:val="000000"/>
            <w:sz w:val="21"/>
          </w:rPr>
          <m:t>l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i"/>
          </m:rPr>
          <w:rPr>
            <w:color w:val="000000"/>
            <w:sz w:val="21"/>
          </w:rPr>
          <m:t>s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e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e</m:t>
            </m:r>
            <m:r>
              <m:rPr>
                <m:sty m:val="i"/>
              </m:rPr>
              <w:rPr>
                <w:color w:val="000000"/>
                <w:sz w:val="21"/>
              </w:rPr>
              <m:t>n</m:t>
            </m:r>
            <m:r>
              <m:rPr>
                <m:sty m:val="i"/>
              </m:rPr>
              <w:rPr>
                <w:color w:val="000000"/>
                <w:sz w:val="21"/>
              </w:rPr>
              <m:t>t</m:t>
            </m:r>
            <m:r>
              <m:rPr>
                <m:sty m:val="i"/>
              </m:rPr>
              <w:rPr>
                <w:color w:val="000000"/>
                <w:sz w:val="21"/>
              </w:rPr>
              <m:t>r</m:t>
            </m:r>
            <m:r>
              <m:rPr>
                <m:sty m:val="i"/>
              </m:rPr>
              <w:rPr>
                <w:color w:val="000000"/>
                <w:sz w:val="21"/>
              </w:rPr>
              <m:t>y</m:t>
            </m:r>
          </m:sub>
        </m:sSub>
      </m:oMath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Aggregate across years:</w:t>
      </w:r>
    </w:p>
    <w:p>
      <w:pPr>
        <w:numPr>
          <w:ilvl w:val="2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percent_wins, average_return, avg_win, avg_loss, max_drawdown across the trade’s equity curve, number_of_years, max_consecutive_losses.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Store all candidate windows with these stats.</w:t>
      </w:r>
    </w:p>
    <w:p>
      <w:pPr>
        <w:spacing w:line="360" w:before="315" w:after="105" w:lineRule="auto"/>
        <w:ind w:left="-30"/>
        <w:jc w:val="left"/>
      </w:pPr>
      <w:bookmarkStart w:id="59" w:name="bm_4_filter_for_high_odds_windows"/>
      <w:r>
        <w:rPr>
          <w:rFonts w:eastAsia="georgia" w:cs="georgia" w:ascii="georgia" w:hAnsi="georgia"/>
          <w:b/>
          <w:color w:val="000000"/>
          <w:sz w:val="24"/>
        </w:rPr>
        <w:t xml:space="preserve">4. Filter for “high odds” windows</w:t>
      </w:r>
      <w:bookmarkEnd w:id="5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Apply filters similar to his “HOST” description.</w:t>
      </w:r>
      <w:bookmarkStart w:id="60" w:name="fnref6_8"/>
      <w:bookmarkEnd w:id="60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61" w:name="fnref3_7"/>
      <w:bookmarkEnd w:id="61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62" w:name="fnref4_9"/>
      <w:bookmarkEnd w:id="62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63" w:name="fnref5_6"/>
      <w:bookmarkEnd w:id="63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Examples: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minimum years traded, e.g., ≥ 15–20.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percent_wins ≥ 65–70%.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profit factor ≥ 1.5.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max_drawdown below some threshold.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window length between e.g. 5–30 trading days.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Rank the remaining windows by a score (e.g., percent_wins × profit_factor / max_drawdown).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top few are your candidate </w:t>
      </w:r>
      <w:r>
        <w:rPr>
          <w:rFonts w:eastAsia="georgia" w:cs="georgia" w:ascii="georgia" w:hAnsi="georgia"/>
          <w:b/>
          <w:color w:val="000000"/>
          <w:sz w:val="21"/>
        </w:rPr>
        <w:t xml:space="preserve">Key Date Trades</w:t>
      </w:r>
      <w:r>
        <w:rPr>
          <w:rFonts w:eastAsia="georgia" w:cs="georgia" w:ascii="georgia" w:hAnsi="georgia"/>
          <w:color w:val="000000"/>
          <w:sz w:val="21"/>
        </w:rPr>
        <w:t xml:space="preserve"> for Alcoa.</w:t>
      </w:r>
    </w:p>
    <w:p>
      <w:pPr>
        <w:spacing w:line="360" w:before="315" w:after="105" w:lineRule="auto"/>
        <w:ind w:left="-30"/>
        <w:jc w:val="left"/>
      </w:pPr>
      <w:bookmarkStart w:id="64" w:name="bm_5_derive_stop_and_target_from_history"/>
      <w:r>
        <w:rPr>
          <w:rFonts w:eastAsia="georgia" w:cs="georgia" w:ascii="georgia" w:hAnsi="georgia"/>
          <w:b/>
          <w:color w:val="000000"/>
          <w:sz w:val="24"/>
        </w:rPr>
        <w:t xml:space="preserve">5. Derive stop and target from history</w:t>
      </w:r>
      <w:bookmarkEnd w:id="6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each candidate window you can derive something equivalent to his “stop loss” and “target” in HOST.</w:t>
      </w:r>
      <w:bookmarkStart w:id="65" w:name="fnref4_10"/>
      <w:bookmarkEnd w:id="6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66" w:name="fnref5_7"/>
      <w:bookmarkEnd w:id="6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67" w:name="fnref6_9"/>
      <w:bookmarkEnd w:id="67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year’s trade path within the window: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Track peak adverse move from entry (MAE) and max favorable move (MFE).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Across years: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Choose stop size =, for example, 90th percentile of MAE (so you’re accepting being stopped out in the worst 10% of years).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Choose target = median or 70th percentile of MFE.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This turns “long AA from day X to day Y” into: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Entry: close on day X (or intraday rule).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Stop: X% below entry (or based on ATR around that level).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Target: Y% above entry based on historical MFE.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Time stop: exit at day Y if target not hit.</w:t>
      </w:r>
    </w:p>
    <w:p>
      <w:pPr>
        <w:spacing w:line="360" w:before="315" w:after="105" w:lineRule="auto"/>
        <w:ind w:left="-30"/>
        <w:jc w:val="left"/>
      </w:pPr>
      <w:bookmarkStart w:id="68" w:name="bm_6_add_setup_trigger_follow_thr_fda30b"/>
      <w:r>
        <w:rPr>
          <w:rFonts w:eastAsia="georgia" w:cs="georgia" w:ascii="georgia" w:hAnsi="georgia"/>
          <w:b/>
          <w:color w:val="000000"/>
          <w:sz w:val="24"/>
        </w:rPr>
        <w:t xml:space="preserve">6. Add Setup–Trigger–Follow‑through layer</w:t>
      </w:r>
      <w:bookmarkEnd w:id="6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Now you mirror his STF model.</w:t>
      </w:r>
      <w:bookmarkStart w:id="69" w:name="fnref10_1"/>
      <w:bookmarkEnd w:id="69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70" w:name="fnref9_2"/>
      <w:bookmarkEnd w:id="70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71" w:name="fnref7_2"/>
      <w:bookmarkEnd w:id="71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72" w:name="fnref8_3"/>
      <w:bookmarkEnd w:id="72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Setup (already done):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high‑odds Alcoa window with defined date range and stats.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Trigger (your timing rule on entry date or within a small “entry band”):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Some possibilities, consistent with his style: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Price closes above a short MA or channel on or after the seasonal start date.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volatility expansion or “breakout bar” on or after that date.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specific intraday pattern (e.g., buy if price breaks previous day’s high between 15:00 and 16:00).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You then backtest: only take the trade in years where the trigger condition appears during the allowed window.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Follow‑through (management):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Hard stop from step 5.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Profit-taking at target; move stop to breakeven when target is partially hit.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Exit all by the seasonal end date regardless.</w:t>
      </w:r>
    </w:p>
    <w:p>
      <w:pPr>
        <w:spacing w:line="360" w:before="315" w:after="105" w:lineRule="auto"/>
        <w:ind w:left="-30"/>
        <w:jc w:val="left"/>
      </w:pPr>
      <w:bookmarkStart w:id="73" w:name="bm_7_backtest_the_full_rule"/>
      <w:r>
        <w:rPr>
          <w:rFonts w:eastAsia="georgia" w:cs="georgia" w:ascii="georgia" w:hAnsi="georgia"/>
          <w:b/>
          <w:color w:val="000000"/>
          <w:sz w:val="24"/>
        </w:rPr>
        <w:t xml:space="preserve">7. Backtest the full rule</w:t>
      </w:r>
      <w:bookmarkEnd w:id="73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Implement a backtest that: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year, checks whether the setup window is active.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Waits for the trigger, enters when it fires.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Applies stop/target/time‑exit rules day by day (or intraday if you have intraday data).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Compute the “final” stats: percent_wins, PF, DD, Sharpe, etc.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Compare these to the pure seasonal window results to see whether the trigger improved or degraded performance (this is what he emphasizes).</w:t>
      </w:r>
      <w:bookmarkStart w:id="74" w:name="fnref9_3"/>
      <w:bookmarkEnd w:id="74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75" w:name="fnref7_3"/>
      <w:bookmarkEnd w:id="75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76" w:name="fnref8_4"/>
      <w:bookmarkEnd w:id="76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77" w:name="fnref1_7"/>
      <w:bookmarkEnd w:id="7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8" w:name="bm_8_optional_learning_refinement"/>
      <w:r>
        <w:rPr>
          <w:rFonts w:eastAsia="georgia" w:cs="georgia" w:ascii="georgia" w:hAnsi="georgia"/>
          <w:b/>
          <w:color w:val="000000"/>
          <w:sz w:val="24"/>
        </w:rPr>
        <w:t xml:space="preserve">8. Optional: learning/refinement</w:t>
      </w:r>
      <w:bookmarkEnd w:id="7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To emulate his “learning model” step for choosing between trades A and B:</w:t>
      </w:r>
      <w:bookmarkStart w:id="79" w:name="fnref5_8"/>
      <w:bookmarkEnd w:id="7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features for each seasonal candidate: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Market context at entry (volatility, trend state), macro indicators, etc.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Train a simple classifier/regression to predict which seasonal trade variants perform best under given conditions, then choose those variants in future years.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it’s useful, next step I can draft a concrete Python skeleton (functions and data structures) for steps 1–4 specifically for AA, so you have something you can drop into a notebook and start filling in. Would you prefer that to be daily‑close‑only first, or do you want to go straight to intraday triggers from the beginning?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0" w:name="fn1"/>
    <w:bookmarkEnd w:id="80"/>
    <w:p>
      <w:pPr>
        <w:numPr>
          <w:ilvl w:val="0"/>
          <w:numId w:val="11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https://www.youtube.com/watch?v=rE7ZzJG0kEo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1" w:name="fn2"/>
    <w:bookmarkEnd w:id="81"/>
    <w:p>
      <w:pPr>
        <w:numPr>
          <w:ilvl w:val="0"/>
          <w:numId w:val="11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https://www.youtube.com/watch?v=7BlVTBjrd1s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2" w:name="fn3"/>
    <w:bookmarkEnd w:id="82"/>
    <w:p>
      <w:pPr>
        <w:numPr>
          <w:ilvl w:val="0"/>
          <w:numId w:val="11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https://seasonaltrader.com/ST_Help/Content/Wecome.htm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3" w:name="fn4"/>
    <w:bookmarkEnd w:id="83"/>
    <w:p>
      <w:pPr>
        <w:numPr>
          <w:ilvl w:val="0"/>
          <w:numId w:val="11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4" w:name="fn5"/>
    <w:bookmarkEnd w:id="84"/>
    <w:p>
      <w:pPr>
        <w:numPr>
          <w:ilvl w:val="0"/>
          <w:numId w:val="11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https://trade-futures.com/STB_2018/STB_2018.html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5" w:name="fn6"/>
    <w:bookmarkEnd w:id="85"/>
    <w:p>
      <w:pPr>
        <w:numPr>
          <w:ilvl w:val="0"/>
          <w:numId w:val="11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https://seasonaltrader.com/info/index.htm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6" w:name="fn7"/>
    <w:bookmarkEnd w:id="86"/>
    <w:p>
      <w:pPr>
        <w:numPr>
          <w:ilvl w:val="0"/>
          <w:numId w:val="11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https://forestbergen.com/portfolio-item/jake-bernsteins-setup-and-timing-triggers/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7" w:name="fn8"/>
    <w:bookmarkEnd w:id="87"/>
    <w:p>
      <w:pPr>
        <w:numPr>
          <w:ilvl w:val="0"/>
          <w:numId w:val="11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https://www.youtube.com/watch?v=WWZNEMLJf7A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8" w:name="fn9"/>
    <w:bookmarkEnd w:id="88"/>
    <w:p>
      <w:pPr>
        <w:numPr>
          <w:ilvl w:val="0"/>
          <w:numId w:val="11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https://www.youtube.com/watch?v=06XT6GEoBOM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9" w:name="fn10"/>
    <w:bookmarkEnd w:id="89"/>
    <w:p>
      <w:pPr>
        <w:numPr>
          <w:ilvl w:val="0"/>
          <w:numId w:val="11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https://www.youtube.com/watch?v=I2UBf3XCwA8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0" w:name="fn11"/>
    <w:bookmarkEnd w:id="90"/>
    <w:p>
      <w:pPr>
        <w:numPr>
          <w:ilvl w:val="0"/>
          <w:numId w:val="11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https://www.trade-futures.com/trialsandsamples.php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1" w:name="fn12"/>
    <w:bookmarkEnd w:id="91"/>
    <w:p>
      <w:pPr>
        <w:numPr>
          <w:ilvl w:val="0"/>
          <w:numId w:val="11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https://cycles.org/22dec-seasonality-jake/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2" w:name="fn13"/>
    <w:bookmarkEnd w:id="92"/>
    <w:p>
      <w:pPr>
        <w:numPr>
          <w:ilvl w:val="0"/>
          <w:numId w:val="11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https://www.youtube.com/playlist?list=PLQFZhqmSOlq8wqIeD45tbBR66w_ZIPhSc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3" w:name="fn14"/>
    <w:bookmarkEnd w:id="93"/>
    <w:p>
      <w:pPr>
        <w:numPr>
          <w:ilvl w:val="0"/>
          <w:numId w:val="11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https://archive.org/details/jakebernsteinsse00bern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4" w:name="fn15"/>
    <w:bookmarkEnd w:id="94"/>
    <w:p>
      <w:pPr>
        <w:numPr>
          <w:ilvl w:val="0"/>
          <w:numId w:val="11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https://www.scribd.com/document/473581091/mbh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e5b98c0199df2b5340ed84350e0d88b3c7ec1e2.png" TargetMode="Internal"/><Relationship Id="rId6" Type="http://schemas.openxmlformats.org/officeDocument/2006/relationships/hyperlink" Target="https://www.youtube.com/watch?v=rE7ZzJG0kEo" TargetMode="External"/><Relationship Id="rId7" Type="http://schemas.openxmlformats.org/officeDocument/2006/relationships/hyperlink" Target="https://www.youtube.com/watch?v=7BlVTBjrd1s" TargetMode="External"/><Relationship Id="rId8" Type="http://schemas.openxmlformats.org/officeDocument/2006/relationships/hyperlink" Target="https://seasonaltrader.com/ST_Help/Content/Wecome.htm" TargetMode="External"/><Relationship Id="rId9" Type="http://schemas.openxmlformats.org/officeDocument/2006/relationships/hyperlink" Target="https://seasonaltrader.com" TargetMode="External"/><Relationship Id="rId10" Type="http://schemas.openxmlformats.org/officeDocument/2006/relationships/hyperlink" Target="https://trade-futures.com/STB_2018/STB_2018.html" TargetMode="External"/><Relationship Id="rId11" Type="http://schemas.openxmlformats.org/officeDocument/2006/relationships/hyperlink" Target="https://seasonaltrader.com/info/index.htm" TargetMode="External"/><Relationship Id="rId12" Type="http://schemas.openxmlformats.org/officeDocument/2006/relationships/hyperlink" Target="https://forestbergen.com/portfolio-item/jake-bernsteins-setup-and-timing-triggers/" TargetMode="External"/><Relationship Id="rId13" Type="http://schemas.openxmlformats.org/officeDocument/2006/relationships/hyperlink" Target="https://www.youtube.com/watch?v=WWZNEMLJf7A" TargetMode="External"/><Relationship Id="rId14" Type="http://schemas.openxmlformats.org/officeDocument/2006/relationships/hyperlink" Target="https://www.youtube.com/watch?v=06XT6GEoBOM" TargetMode="External"/><Relationship Id="rId15" Type="http://schemas.openxmlformats.org/officeDocument/2006/relationships/hyperlink" Target="https://www.youtube.com/watch?v=I2UBf3XCwA8" TargetMode="External"/><Relationship Id="rId16" Type="http://schemas.openxmlformats.org/officeDocument/2006/relationships/hyperlink" Target="https://www.trade-futures.com/trialsandsamples.php" TargetMode="External"/><Relationship Id="rId17" Type="http://schemas.openxmlformats.org/officeDocument/2006/relationships/hyperlink" Target="https://cycles.org/22dec-seasonality-jake/" TargetMode="External"/><Relationship Id="rId18" Type="http://schemas.openxmlformats.org/officeDocument/2006/relationships/hyperlink" Target="https://www.youtube.com/playlist?list=PLQFZhqmSOlq8wqIeD45tbBR66w_ZIPhSc" TargetMode="External"/><Relationship Id="rId19" Type="http://schemas.openxmlformats.org/officeDocument/2006/relationships/hyperlink" Target="https://archive.org/details/jakebernsteinsse00bern" TargetMode="External"/><Relationship Id="rId20" Type="http://schemas.openxmlformats.org/officeDocument/2006/relationships/hyperlink" Target="https://www.scribd.com/document/473581091/mbh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2026-03-27T06:26:05.148Z</dcterms:created>
  <dcterms:modified xsi:type="dcterms:W3CDTF">2026-03-27T06:26:05.148Z</dcterms:modified>
</cp:coreProperties>
</file>