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57ff537b2a1af13d6fa97705adbb6ecd7bb974b9.png"/>
            <a:graphic>
              <a:graphicData uri="http://schemas.openxmlformats.org/drawingml/2006/picture">
                <pic:pic>
                  <pic:nvPicPr>
                    <pic:cNvPr id="1" name="image-57ff537b2a1af13d6fa97705adbb6ecd7bb974b9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given_we_have_calculaed_and_downl_4b85d1"/>
      <w:r>
        <w:rPr>
          <w:rFonts w:eastAsia="georgia" w:cs="georgia" w:ascii="georgia" w:hAnsi="georgia"/>
          <w:b/>
          <w:color w:val="000000"/>
          <w:sz w:val="39"/>
        </w:rPr>
        <w:t xml:space="preserve">given we have calculaed and download the history of all the nasadaq100 tickers. How do we can calculated based on his methods which are rougly, coarse going to have a high seasonality to return good profits in the comming months?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With Nasdaq-100 daily data loaded, you screen for high seasonal profitability using Bernstein's core metrics on calendar‑aligned windows, then rank for the next few months.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4" w:name="fnref4"/>
      <w:bookmarkEnd w:id="4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5" w:name="fnref5"/>
      <w:bookmarkEnd w:id="5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6" w:name="fnref6"/>
      <w:bookmarkEnd w:id="6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7" w:name="fnref7"/>
      <w:bookmarkEnd w:id="7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bookmarkStart w:id="8" w:name="screening_criteria_bernstein_s_hi_27e46e"/>
      <w:r>
        <w:rPr>
          <w:rFonts w:eastAsia="georgia" w:cs="georgia" w:ascii="georgia" w:hAnsi="georgia"/>
          <w:b/>
          <w:color w:val="000000"/>
          <w:sz w:val="24"/>
        </w:rPr>
        <w:t xml:space="preserve">Screening criteria (Bernstein's "high odds" filters)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He explicitly uses these in SeasonalTrader/HOST for stocks (and shows Nasdaq examples like Zimmer Holdings):</w:t>
      </w:r>
      <w:bookmarkStart w:id="9" w:name="fnref2_1"/>
      <w:bookmarkEnd w:id="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10" w:name="fnref3_1"/>
      <w:bookmarkEnd w:id="10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11" w:name="fnref8"/>
      <w:bookmarkEnd w:id="11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  <w:bookmarkStart w:id="12" w:name="fnref4_1"/>
      <w:bookmarkEnd w:id="12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13" w:name="fnref5_1"/>
      <w:bookmarkEnd w:id="13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14" w:name="fnref6_1"/>
      <w:bookmarkEnd w:id="14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15" w:name="fnref7_1"/>
      <w:bookmarkEnd w:id="15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bookmarkStart w:id="16" w:name="fnref1_1"/>
      <w:bookmarkEnd w:id="1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Win rate</w:t>
      </w:r>
      <w:r>
        <w:rPr>
          <w:rFonts w:eastAsia="georgia" w:cs="georgia" w:ascii="georgia" w:hAnsi="georgia"/>
          <w:color w:val="000000"/>
          <w:sz w:val="21"/>
        </w:rPr>
        <w:t xml:space="preserve"> ≥ 70% (65% minimum, but he prefers 75–85%+ for "cream of the crop").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Minimum years</w:t>
      </w:r>
      <w:r>
        <w:rPr>
          <w:rFonts w:eastAsia="georgia" w:cs="georgia" w:ascii="georgia" w:hAnsi="georgia"/>
          <w:color w:val="000000"/>
          <w:sz w:val="21"/>
        </w:rPr>
        <w:t xml:space="preserve"> ≥ 15–20 (more is better for reliability).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Profit factor</w:t>
      </w:r>
      <w:r>
        <w:rPr>
          <w:rFonts w:eastAsia="georgia" w:cs="georgia" w:ascii="georgia" w:hAnsi="georgia"/>
          <w:color w:val="000000"/>
          <w:sz w:val="21"/>
        </w:rPr>
        <w:t xml:space="preserve"> ≥ 1.5–2.0 (total profit / total loss).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Max drawdown</w:t>
      </w:r>
      <w:r>
        <w:rPr>
          <w:rFonts w:eastAsia="georgia" w:cs="georgia" w:ascii="georgia" w:hAnsi="georgia"/>
          <w:color w:val="000000"/>
          <w:sz w:val="21"/>
        </w:rPr>
        <w:t xml:space="preserve"> below reasonable threshold (e.g., &lt;10–15% of entry price).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Max consecutive losses</w:t>
      </w:r>
      <w:r>
        <w:rPr>
          <w:rFonts w:eastAsia="georgia" w:cs="georgia" w:ascii="georgia" w:hAnsi="georgia"/>
          <w:color w:val="000000"/>
          <w:sz w:val="21"/>
        </w:rPr>
        <w:t xml:space="preserve"> ≤ 2–3.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Window length</w:t>
      </w:r>
      <w:r>
        <w:rPr>
          <w:rFonts w:eastAsia="georgia" w:cs="georgia" w:ascii="georgia" w:hAnsi="georgia"/>
          <w:color w:val="000000"/>
          <w:sz w:val="21"/>
        </w:rPr>
        <w:t xml:space="preserve"> 5–60 trading days (prefers short, high‑probability moves).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Score</w:t>
      </w:r>
      <w:r>
        <w:rPr>
          <w:rFonts w:eastAsia="georgia" w:cs="georgia" w:ascii="georgia" w:hAnsi="georgia"/>
          <w:color w:val="000000"/>
          <w:sz w:val="21"/>
        </w:rPr>
        <w:t xml:space="preserve"> to rank: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win_rate * profit_factor / (1 + max_dd)</w:t>
      </w:r>
      <w:r>
        <w:rPr>
          <w:rFonts w:eastAsia="georgia" w:cs="georgia" w:ascii="georgia" w:hAnsi="georgia"/>
          <w:color w:val="000000"/>
          <w:sz w:val="21"/>
        </w:rPr>
        <w:t xml:space="preserve"> or similar.</w:t>
      </w:r>
    </w:p>
    <w:p>
      <w:pPr>
        <w:spacing w:line="360" w:before="315" w:after="105" w:lineRule="auto"/>
        <w:ind w:left="-30"/>
        <w:jc w:val="left"/>
      </w:pPr>
      <w:bookmarkStart w:id="17" w:name="step_by_step_screening_workflow"/>
      <w:r>
        <w:rPr>
          <w:rFonts w:eastAsia="georgia" w:cs="georgia" w:ascii="georgia" w:hAnsi="georgia"/>
          <w:b/>
          <w:color w:val="000000"/>
          <w:sz w:val="24"/>
        </w:rPr>
        <w:t xml:space="preserve">Step-by-step screening workflow</w:t>
      </w:r>
      <w:bookmarkEnd w:id="17"/>
    </w:p>
    <w:p>
      <w:pPr>
        <w:spacing w:line="360" w:before="315" w:after="105" w:lineRule="auto"/>
        <w:ind w:left="-30"/>
        <w:jc w:val="left"/>
      </w:pPr>
      <w:bookmarkStart w:id="18" w:name="bm_1_prepare_panel_data_all_nasda_87e730"/>
      <w:r>
        <w:rPr>
          <w:rFonts w:eastAsia="georgia" w:cs="georgia" w:ascii="georgia" w:hAnsi="georgia"/>
          <w:b/>
          <w:color w:val="000000"/>
          <w:sz w:val="24"/>
        </w:rPr>
        <w:t xml:space="preserve">1. Prepare panel data (all Nasdaq-100 tickers)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Assume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df_panel</w:t>
      </w:r>
      <w:r>
        <w:rPr>
          <w:rFonts w:eastAsia="georgia" w:cs="georgia" w:ascii="georgia" w:hAnsi="georgia"/>
          <w:color w:val="000000"/>
        </w:rPr>
        <w:t xml:space="preserve"> with shape (dates, tickers) where rows have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calendar_doy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year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ticker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close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df_panel = {}  # or MultiIndex DataFrame</w:t>
        <w:br/>
        <w:t xml:space="preserve">for ticker in nasdaq100_list:</w:t>
        <w:br/>
        <w:t xml:space="preserve">    df_panel[ticker] = yf.download(ticker, start='2000-01-01')['Adj Close']</w:t>
        <w:br/>
        <w:t xml:space="preserve">    # Add: year, calendar_doy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9" w:name="bm_2_define_coming_months_search_space"/>
      <w:r>
        <w:rPr>
          <w:rFonts w:eastAsia="georgia" w:cs="georgia" w:ascii="georgia" w:hAnsi="georgia"/>
          <w:b/>
          <w:color w:val="000000"/>
          <w:sz w:val="24"/>
        </w:rPr>
        <w:t xml:space="preserve">2. Define "coming months" search space</w:t>
      </w:r>
      <w:bookmarkEnd w:id="1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For March 27, 2026 → screen for </w:t>
      </w:r>
      <w:r>
        <w:rPr>
          <w:rFonts w:eastAsia="georgia" w:cs="georgia" w:ascii="georgia" w:hAnsi="georgia"/>
          <w:b/>
          <w:color w:val="000000"/>
        </w:rPr>
        <w:t xml:space="preserve">now through Dec 2026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target_start_doy = 87</w:t>
      </w:r>
      <w:r>
        <w:rPr>
          <w:rFonts w:eastAsia="georgia" w:cs="georgia" w:ascii="georgia" w:hAnsi="georgia"/>
          <w:color w:val="000000"/>
          <w:sz w:val="21"/>
        </w:rPr>
        <w:t xml:space="preserve"> (March 28, 2026).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target_end_doy = 365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Entry DOY: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target_start_doy</w:t>
      </w:r>
      <w:r>
        <w:rPr>
          <w:rFonts w:eastAsia="georgia" w:cs="georgia" w:ascii="georgia" w:hAnsi="georgia"/>
          <w:color w:val="000000"/>
          <w:sz w:val="21"/>
        </w:rPr>
        <w:t xml:space="preserve">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target_end_doy - min_len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Exit DOY: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entry_doy + min_len</w:t>
      </w:r>
      <w:r>
        <w:rPr>
          <w:rFonts w:eastAsia="georgia" w:cs="georgia" w:ascii="georgia" w:hAnsi="georgia"/>
          <w:color w:val="000000"/>
          <w:sz w:val="21"/>
        </w:rPr>
        <w:t xml:space="preserve">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target_end_doy</w:t>
      </w:r>
      <w:r>
        <w:rPr>
          <w:rFonts w:eastAsia="georgia" w:cs="georgia" w:ascii="georgia" w:hAnsi="georgia"/>
          <w:color w:val="000000"/>
          <w:sz w:val="21"/>
        </w:rPr>
        <w:t xml:space="preserve"> (min_len=5, max_len=60).</w:t>
      </w:r>
    </w:p>
    <w:p>
      <w:pPr>
        <w:spacing w:line="360" w:before="315" w:after="105" w:lineRule="auto"/>
        <w:ind w:left="-30"/>
        <w:jc w:val="left"/>
      </w:pPr>
      <w:bookmarkStart w:id="20" w:name="bm_3_exhaustive_calendar_window_s_a2568f"/>
      <w:r>
        <w:rPr>
          <w:rFonts w:eastAsia="georgia" w:cs="georgia" w:ascii="georgia" w:hAnsi="georgia"/>
          <w:b/>
          <w:color w:val="000000"/>
          <w:sz w:val="24"/>
        </w:rPr>
        <w:t xml:space="preserve">3. Exhaustive calendar‑window search per ticker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For each ticker, each (entry_doy, exit_doy):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valid_years = years where both DOYs exist and have close prices</w:t>
        <w:br/>
        <w:t xml:space="preserve">if len(valid_years) &lt; 15: skip</w:t>
        <w:br/>
        <w:t xml:space="preserve"/>
        <w:br/>
        <w:t xml:space="preserve">for each valid year:</w:t>
        <w:br/>
        <w:t xml:space="preserve">    r = (close[exit_doy] - close[entry_doy]) / close[entry_doy]</w:t>
        <w:br/>
        <w:t xml:space="preserve"/>
        <w:br/>
        <w:t xml:space="preserve">stats = {</w:t>
        <w:br/>
        <w:t xml:space="preserve">    'win_rate': mean(r &gt; 0),</w:t>
        <w:br/>
        <w:t xml:space="preserve">    'avg_return': mean(r),</w:t>
        <w:br/>
        <w:t xml:space="preserve">    'avg_win': mean(r[r&gt;0]),</w:t>
        <w:br/>
        <w:t xml:space="preserve">    'avg_loss': mean(r[r&lt;0]),</w:t>
        <w:br/>
        <w:t xml:space="preserve">    'profit_factor': sum(r[r&gt;0]) / abs(sum(r[r&lt;0])),</w:t>
        <w:br/>
        <w:t xml:space="preserve">    'max_consec_losses': max_consecutive_negative(r),</w:t>
        <w:br/>
        <w:t xml:space="preserve">    'max_dd': max_drawdown_of_returns(r),  # within-window path DD</w:t>
        <w:br/>
        <w:t xml:space="preserve">    'n_years': len(valid_years)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Store as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all_windows_df</w:t>
      </w:r>
      <w:r>
        <w:rPr>
          <w:rFonts w:eastAsia="georgia" w:cs="georgia" w:ascii="georgia" w:hAnsi="georgia"/>
          <w:color w:val="000000"/>
        </w:rPr>
        <w:t xml:space="preserve"> with columns: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ticker, entry_doy, exit_doy, win_rate, profit_factor, ...</w:t>
      </w:r>
    </w:p>
    <w:p>
      <w:pPr>
        <w:spacing w:line="360" w:before="315" w:after="105" w:lineRule="auto"/>
        <w:ind w:left="-30"/>
        <w:jc w:val="left"/>
      </w:pPr>
      <w:bookmarkStart w:id="21" w:name="bm_4_apply_bernstein_filters_and_rank"/>
      <w:r>
        <w:rPr>
          <w:rFonts w:eastAsia="georgia" w:cs="georgia" w:ascii="georgia" w:hAnsi="georgia"/>
          <w:b/>
          <w:color w:val="000000"/>
          <w:sz w:val="24"/>
        </w:rPr>
        <w:t xml:space="preserve">4. Apply Bernstein filters and rank</w:t>
      </w:r>
      <w:bookmarkEnd w:id="2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high_odds = all_windows_df[</w:t>
        <w:br/>
        <w:t xml:space="preserve">    (df['win_rate'] &gt;= 0.70) &amp;</w:t>
        <w:br/>
        <w:t xml:space="preserve">    (df['n_years'] &gt;= 15) &amp;</w:t>
        <w:br/>
        <w:t xml:space="preserve">    (df['profit_factor'] &gt;= 1.5) &amp;</w:t>
        <w:br/>
        <w:t xml:space="preserve">    (df['max_dd'] &lt; 0.12)  # 12% max DD</w:t>
        <w:br/>
        <w:t xml:space="preserve">]</w:t>
        <w:br/>
        <w:t xml:space="preserve"/>
        <w:br/>
        <w:t xml:space="preserve">high_odds['bernstein_score'] = high_odds['win_rate'] * high_odds['profit_factor'] / (1 + high_odds['max_dd'].abs())</w:t>
        <w:br/>
        <w:t xml:space="preserve">top_candidates = high_odds.nlargest(50, 'bernstein_score')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2" w:name="bm_5_derive_trade_specs_and_forwa_996fd8"/>
      <w:r>
        <w:rPr>
          <w:rFonts w:eastAsia="georgia" w:cs="georgia" w:ascii="georgia" w:hAnsi="georgia"/>
          <w:b/>
          <w:color w:val="000000"/>
          <w:sz w:val="24"/>
        </w:rPr>
        <w:t xml:space="preserve">5. Derive trade specs and forward‑look filter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For each top candidate: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stop_pct = np.quantile(adverse_excursions, 0.9)</w:t>
      </w:r>
      <w:r>
        <w:rPr>
          <w:rFonts w:eastAsia="georgia" w:cs="georgia" w:ascii="georgia" w:hAnsi="georgia"/>
          <w:color w:val="000000"/>
          <w:sz w:val="21"/>
        </w:rPr>
        <w:t xml:space="preserve"> (90th percentile worst move).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target_pct = np.median(favorable_excursions)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Expected profit</w:t>
      </w:r>
      <w:r>
        <w:rPr>
          <w:rFonts w:eastAsia="georgia" w:cs="georgia" w:ascii="georgia" w:hAnsi="georgia"/>
          <w:color w:val="000000"/>
          <w:sz w:val="21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(win_rate * avg_win) - ((1-win_rate) * avg_loss)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Coarse forward filter</w:t>
      </w:r>
      <w:r>
        <w:rPr>
          <w:rFonts w:eastAsia="georgia" w:cs="georgia" w:ascii="georgia" w:hAnsi="georgia"/>
          <w:color w:val="000000"/>
        </w:rPr>
        <w:t xml:space="preserve"> (Bernstein's "AI/learning model" rough version):</w:t>
      </w:r>
      <w:bookmarkStart w:id="23" w:name="fnref4_2"/>
      <w:bookmarkEnd w:id="23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each candidate, check recent context: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Current price relative to 200‑day MA (prefers above for longs).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Sector relative strength (Nasdaq tech bias).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Volatility (ATR percentile).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Boost score if context favorable, e.g.,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score *= 1.2</w:t>
      </w:r>
      <w:r>
        <w:rPr>
          <w:rFonts w:eastAsia="georgia" w:cs="georgia" w:ascii="georgia" w:hAnsi="georgia"/>
          <w:color w:val="000000"/>
          <w:sz w:val="21"/>
        </w:rPr>
        <w:t xml:space="preserve"> if price &gt; 200MA.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Result: </w:t>
      </w:r>
      <w:r>
        <w:rPr>
          <w:rFonts w:eastAsia="georgia" w:cs="georgia" w:ascii="georgia" w:hAnsi="georgia"/>
          <w:b/>
          <w:color w:val="000000"/>
        </w:rPr>
        <w:t xml:space="preserve">top 10–20 Nasdaq-100 tickers</w:t>
      </w:r>
      <w:r>
        <w:rPr>
          <w:rFonts w:eastAsia="georgia" w:cs="georgia" w:ascii="georgia" w:hAnsi="georgia"/>
          <w:color w:val="000000"/>
        </w:rPr>
        <w:t xml:space="preserve"> with strongest seasonal setups for April–Dec 2026, ranked by expected profit or Bernstein score.</w:t>
      </w:r>
    </w:p>
    <w:p>
      <w:pPr>
        <w:spacing w:line="360" w:before="315" w:after="105" w:lineRule="auto"/>
        <w:ind w:left="-30"/>
        <w:jc w:val="left"/>
      </w:pPr>
      <w:bookmarkStart w:id="24" w:name="example_output_structure"/>
      <w:r>
        <w:rPr>
          <w:rFonts w:eastAsia="georgia" w:cs="georgia" w:ascii="georgia" w:hAnsi="georgia"/>
          <w:b/>
          <w:color w:val="000000"/>
          <w:sz w:val="24"/>
        </w:rPr>
        <w:t xml:space="preserve">Example output structure</w:t>
      </w:r>
      <w:bookmarkEnd w:id="2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189"/>
        <w:gridCol w:w="1189"/>
        <w:gridCol w:w="1189"/>
        <w:gridCol w:w="1189"/>
        <w:gridCol w:w="1189"/>
        <w:gridCol w:w="1189"/>
        <w:gridCol w:w="1189"/>
        <w:gridCol w:w="118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Ticker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Entry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Exit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Win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Profit Factor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Max DD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Expected Return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Score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ZIMH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Nov 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Dec 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4.2%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1.85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AAPL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Apr 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May 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3.1%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1.42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5" w:name="computational_notes"/>
      <w:r>
        <w:rPr>
          <w:rFonts w:eastAsia="georgia" w:cs="georgia" w:ascii="georgia" w:hAnsi="georgia"/>
          <w:b/>
          <w:color w:val="000000"/>
          <w:sz w:val="24"/>
        </w:rPr>
        <w:t xml:space="preserve">Computational notes</w:t>
      </w:r>
      <w:bookmarkEnd w:id="25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100 tickers × 200 entry DOYs × 50 exit offsets × 25 avg years</w:t>
      </w:r>
      <w:r>
        <w:rPr>
          <w:rFonts w:eastAsia="georgia" w:cs="georgia" w:ascii="georgia" w:hAnsi="georgia"/>
          <w:color w:val="000000"/>
          <w:sz w:val="21"/>
        </w:rPr>
        <w:t xml:space="preserve"> = ~25M calculations → vectorize with NumPy/pandas groupby.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Run once per quarter; takes minutes on a laptop.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"coming months," you can pre‑compute all windows yearly and filter by date range.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gives you exactly what he screens for: precise, calendar‑aligned, high‑odds stock seasonals with full specs.</w:t>
      </w:r>
      <w:bookmarkStart w:id="26" w:name="fnref3_2"/>
      <w:bookmarkEnd w:id="26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27" w:name="fnref8_1"/>
      <w:bookmarkEnd w:id="27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  <w:bookmarkStart w:id="28" w:name="fnref5_2"/>
      <w:bookmarkEnd w:id="28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29" w:name="fnref6_2"/>
      <w:bookmarkEnd w:id="29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30" w:name="fnref7_2"/>
      <w:bookmarkEnd w:id="30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bookmarkStart w:id="31" w:name="fnref1_2"/>
      <w:bookmarkEnd w:id="3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32" w:name="fnref2_2"/>
      <w:bookmarkEnd w:id="3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3" w:name="fnref4_3"/>
      <w:bookmarkEnd w:id="33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Which part do you want to implement first: the screening pipeline pseudocode, or a sample for one window to test the stats calculation?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34" w:name="fn1"/>
    <w:bookmarkEnd w:id="34"/>
    <w:p>
      <w:pPr>
        <w:numPr>
          <w:ilvl w:val="0"/>
          <w:numId w:val="7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https://www.youtube.com/watch?v=UskzY4yXS0Y&amp;vl=de-DE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" w:name="fn2"/>
    <w:bookmarkEnd w:id="35"/>
    <w:p>
      <w:pPr>
        <w:numPr>
          <w:ilvl w:val="0"/>
          <w:numId w:val="7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http://trade-futures.com/seasonals/seasonals_2015_3.html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6" w:name="fn3"/>
    <w:bookmarkEnd w:id="36"/>
    <w:p>
      <w:pPr>
        <w:numPr>
          <w:ilvl w:val="0"/>
          <w:numId w:val="7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https://www.youtube.com/watch?v=rE7ZzJG0kEo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7" w:name="fn4"/>
    <w:bookmarkEnd w:id="37"/>
    <w:p>
      <w:pPr>
        <w:numPr>
          <w:ilvl w:val="0"/>
          <w:numId w:val="7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https://trade-futures.com/STB_2018/STB_2018.html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8" w:name="fn5"/>
    <w:bookmarkEnd w:id="38"/>
    <w:p>
      <w:pPr>
        <w:numPr>
          <w:ilvl w:val="0"/>
          <w:numId w:val="7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https://seasonaltrader.com/ST_Help/default.htm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9" w:name="fn6"/>
    <w:bookmarkEnd w:id="39"/>
    <w:p>
      <w:pPr>
        <w:numPr>
          <w:ilvl w:val="0"/>
          <w:numId w:val="7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https://seasonaltrader.com/ST_Help/Content/Wecome.htm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0" w:name="fn7"/>
    <w:bookmarkEnd w:id="40"/>
    <w:p>
      <w:pPr>
        <w:numPr>
          <w:ilvl w:val="0"/>
          <w:numId w:val="7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https://seasonaltrader.com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1" w:name="fn8"/>
    <w:bookmarkEnd w:id="41"/>
    <w:p>
      <w:pPr>
        <w:numPr>
          <w:ilvl w:val="0"/>
          <w:numId w:val="7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https://www.youtube.com/watch?v=d0VnPVqXXAc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2" w:name="fn9"/>
    <w:bookmarkEnd w:id="42"/>
    <w:p>
      <w:pPr>
        <w:numPr>
          <w:ilvl w:val="0"/>
          <w:numId w:val="7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https://jakebernsteinstore.com/index.php/product/webinar-collection-1-seasonality-the-ultimate-methodology/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3" w:name="fn10"/>
    <w:bookmarkEnd w:id="43"/>
    <w:p>
      <w:pPr>
        <w:numPr>
          <w:ilvl w:val="0"/>
          <w:numId w:val="7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http://trade-futures.com/traders_collections/traders_collections_SALE.html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4" w:name="fn11"/>
    <w:bookmarkEnd w:id="44"/>
    <w:p>
      <w:pPr>
        <w:numPr>
          <w:ilvl w:val="0"/>
          <w:numId w:val="7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https://bettersystemtrader.com/downloads/MarketTimingIdeas-BetterSystemTrader.pdf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5" w:name="fn12"/>
    <w:bookmarkEnd w:id="45"/>
    <w:p>
      <w:pPr>
        <w:numPr>
          <w:ilvl w:val="0"/>
          <w:numId w:val="7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https://www.moneyshow.com/expert/13f6fc1f3662413ebb9069342ff6b553/jake-bernstein/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6" w:name="fn13"/>
    <w:bookmarkEnd w:id="46"/>
    <w:p>
      <w:pPr>
        <w:numPr>
          <w:ilvl w:val="0"/>
          <w:numId w:val="7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https://www.youtube.com/watch?v=dU_7pRx4W-E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7" w:name="fn14"/>
    <w:bookmarkEnd w:id="47"/>
    <w:p>
      <w:pPr>
        <w:numPr>
          <w:ilvl w:val="0"/>
          <w:numId w:val="7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https://www.youtube.com/watch?v=F76Q6qDSsR4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8" w:name="fn15"/>
    <w:bookmarkEnd w:id="48"/>
    <w:p>
      <w:pPr>
        <w:numPr>
          <w:ilvl w:val="0"/>
          <w:numId w:val="7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https://seasonaltrader.com/data/seasonals.pdf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9" w:name="fn16"/>
    <w:bookmarkEnd w:id="49"/>
    <w:p>
      <w:pPr>
        <w:numPr>
          <w:ilvl w:val="0"/>
          <w:numId w:val="7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https://www.youtube.com/watch?v=UskzY4yXS0Y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0" w:name="fn17"/>
    <w:bookmarkEnd w:id="50"/>
    <w:p>
      <w:pPr>
        <w:numPr>
          <w:ilvl w:val="0"/>
          <w:numId w:val="7"/>
        </w:numPr>
        <w:spacing w:line="360" w:after="210" w:lineRule="auto"/>
      </w:pPr>
      <w:hyperlink r:id="rId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https://day-trader.pl/anglojezyczne/1761-seasonality-systems-strategies-and-signals-jake-bernstein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57ff537b2a1af13d6fa97705adbb6ecd7bb974b9.png" TargetMode="Internal"/><Relationship Id="rId6" Type="http://schemas.openxmlformats.org/officeDocument/2006/relationships/hyperlink" Target="https://www.youtube.com/watch?v=UskzY4yXS0Y&amp;vl=de-DE" TargetMode="External"/><Relationship Id="rId7" Type="http://schemas.openxmlformats.org/officeDocument/2006/relationships/hyperlink" Target="http://trade-futures.com/seasonals/seasonals_2015_3.html" TargetMode="External"/><Relationship Id="rId8" Type="http://schemas.openxmlformats.org/officeDocument/2006/relationships/hyperlink" Target="https://www.youtube.com/watch?v=rE7ZzJG0kEo" TargetMode="External"/><Relationship Id="rId9" Type="http://schemas.openxmlformats.org/officeDocument/2006/relationships/hyperlink" Target="https://trade-futures.com/STB_2018/STB_2018.html" TargetMode="External"/><Relationship Id="rId10" Type="http://schemas.openxmlformats.org/officeDocument/2006/relationships/hyperlink" Target="https://seasonaltrader.com/ST_Help/default.htm" TargetMode="External"/><Relationship Id="rId11" Type="http://schemas.openxmlformats.org/officeDocument/2006/relationships/hyperlink" Target="https://seasonaltrader.com/ST_Help/Content/Wecome.htm" TargetMode="External"/><Relationship Id="rId12" Type="http://schemas.openxmlformats.org/officeDocument/2006/relationships/hyperlink" Target="https://seasonaltrader.com" TargetMode="External"/><Relationship Id="rId13" Type="http://schemas.openxmlformats.org/officeDocument/2006/relationships/hyperlink" Target="https://www.youtube.com/watch?v=d0VnPVqXXAc" TargetMode="External"/><Relationship Id="rId14" Type="http://schemas.openxmlformats.org/officeDocument/2006/relationships/hyperlink" Target="https://jakebernsteinstore.com/index.php/product/webinar-collection-1-seasonality-the-ultimate-methodology/" TargetMode="External"/><Relationship Id="rId15" Type="http://schemas.openxmlformats.org/officeDocument/2006/relationships/hyperlink" Target="http://trade-futures.com/traders_collections/traders_collections_SALE.html" TargetMode="External"/><Relationship Id="rId16" Type="http://schemas.openxmlformats.org/officeDocument/2006/relationships/hyperlink" Target="https://bettersystemtrader.com/downloads/MarketTimingIdeas-BetterSystemTrader.pdf" TargetMode="External"/><Relationship Id="rId17" Type="http://schemas.openxmlformats.org/officeDocument/2006/relationships/hyperlink" Target="https://www.moneyshow.com/expert/13f6fc1f3662413ebb9069342ff6b553/jake-bernstein/" TargetMode="External"/><Relationship Id="rId18" Type="http://schemas.openxmlformats.org/officeDocument/2006/relationships/hyperlink" Target="https://www.youtube.com/watch?v=dU_7pRx4W-E" TargetMode="External"/><Relationship Id="rId19" Type="http://schemas.openxmlformats.org/officeDocument/2006/relationships/hyperlink" Target="https://www.youtube.com/watch?v=F76Q6qDSsR4" TargetMode="External"/><Relationship Id="rId20" Type="http://schemas.openxmlformats.org/officeDocument/2006/relationships/hyperlink" Target="https://seasonaltrader.com/data/seasonals.pdf" TargetMode="External"/><Relationship Id="rId21" Type="http://schemas.openxmlformats.org/officeDocument/2006/relationships/hyperlink" Target="https://www.youtube.com/watch?v=UskzY4yXS0Y" TargetMode="External"/><Relationship Id="rId22" Type="http://schemas.openxmlformats.org/officeDocument/2006/relationships/hyperlink" Target="https://day-trader.pl/anglojezyczne/1761-seasonality-systems-strategies-and-signals-jake-bernstein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2026-03-27T06:35:13.154Z</dcterms:created>
  <dcterms:modified xsi:type="dcterms:W3CDTF">2026-03-27T06:35:13.154Z</dcterms:modified>
</cp:coreProperties>
</file>