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99e80a0edcc7b2636bf32f9a9ec82c11f08edaed.png"/>
            <a:graphic>
              <a:graphicData uri="http://schemas.openxmlformats.org/drawingml/2006/picture">
                <pic:pic>
                  <pic:nvPicPr>
                    <pic:cNvPr id="1" name="image-99e80a0edcc7b2636bf32f9a9ec82c11f08edae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yes"/>
      <w:r>
        <w:rPr>
          <w:rFonts w:eastAsia="georgia" w:cs="georgia" w:ascii="georgia" w:hAnsi="georgia"/>
          <w:b/>
          <w:color w:val="000000"/>
          <w:sz w:val="39"/>
        </w:rPr>
        <w:t xml:space="preserve">yes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You can build this as a daily-close seasonal engine for AA first, then later bolt on intraday triggers. Here’s a concrete, Jake-style workflow plus what each step would look like in Python.</w:t>
      </w:r>
    </w:p>
    <w:p>
      <w:pPr>
        <w:spacing w:line="360" w:before="315" w:after="105" w:lineRule="auto"/>
        <w:ind w:left="-30"/>
        <w:jc w:val="left"/>
      </w:pPr>
      <w:bookmarkStart w:id="1" w:name="bm_1_get_and_structure_alcoa_data"/>
      <w:r>
        <w:rPr>
          <w:rFonts w:eastAsia="georgia" w:cs="georgia" w:ascii="georgia" w:hAnsi="georgia"/>
          <w:b/>
          <w:color w:val="000000"/>
          <w:sz w:val="24"/>
        </w:rPr>
        <w:t xml:space="preserve">1. Get and structure Alcoa data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Goal: daily panel with year and trading-day index.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Fetch daily OHLC (e.g., with yfinance) back as far as possible.</w:t>
      </w:r>
      <w:bookmarkStart w:id="2" w:name="fnref1"/>
      <w:bookmarkEnd w:id="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3" w:name="fnref2"/>
      <w:bookmarkEnd w:id="3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4" w:name="fnref3"/>
      <w:bookmarkEnd w:id="4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Clean and add: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year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doy_trading</w:t>
      </w:r>
      <w:r>
        <w:rPr>
          <w:rFonts w:eastAsia="georgia" w:cs="georgia" w:ascii="georgia" w:hAnsi="georgia"/>
          <w:color w:val="000000"/>
          <w:sz w:val="21"/>
        </w:rPr>
        <w:t xml:space="preserve"> (trading day number within each year).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Example structure (conceptually):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Columns: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date, open, high, low, close, volume, year, doy_trading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5" w:name="bm_2_build_the_basic_seasonal_profile"/>
      <w:r>
        <w:rPr>
          <w:rFonts w:eastAsia="georgia" w:cs="georgia" w:ascii="georgia" w:hAnsi="georgia"/>
          <w:b/>
          <w:color w:val="000000"/>
          <w:sz w:val="24"/>
        </w:rPr>
        <w:t xml:space="preserve">2. Build the basic seasonal profile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reproduces his “normalize each year and average” step.</w:t>
      </w:r>
      <w:bookmarkStart w:id="6" w:name="fnref4"/>
      <w:bookmarkEnd w:id="6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7" w:name="fnref5"/>
      <w:bookmarkEnd w:id="7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each year: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Compute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year_low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year_high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Normalize: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norm_close = (close - year_low) / (year_high - year_low)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each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doy_trading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Average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norm_close</w:t>
      </w:r>
      <w:r>
        <w:rPr>
          <w:rFonts w:eastAsia="georgia" w:cs="georgia" w:ascii="georgia" w:hAnsi="georgia"/>
          <w:color w:val="000000"/>
          <w:sz w:val="21"/>
        </w:rPr>
        <w:t xml:space="preserve"> across all years.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Plot the average curve vs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doy_trading</w:t>
      </w:r>
      <w:r>
        <w:rPr>
          <w:rFonts w:eastAsia="georgia" w:cs="georgia" w:ascii="georgia" w:hAnsi="georgia"/>
          <w:color w:val="000000"/>
          <w:sz w:val="21"/>
        </w:rPr>
        <w:t xml:space="preserve">; visually locate strong up periods (e.g., mid‑Nov to year‑end for AA in his example).</w:t>
      </w:r>
      <w:bookmarkStart w:id="8" w:name="fnref5_1"/>
      <w:bookmarkEnd w:id="8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gives you the intuition and a sanity check: you should see the “Alcoa tends to rise from mid‑November to year‑end” pattern.</w:t>
      </w:r>
      <w:bookmarkStart w:id="9" w:name="fnref5_2"/>
      <w:bookmarkEnd w:id="9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10" w:name="bm_3_exhaustive_seasonal_window_search"/>
      <w:r>
        <w:rPr>
          <w:rFonts w:eastAsia="georgia" w:cs="georgia" w:ascii="georgia" w:hAnsi="georgia"/>
          <w:b/>
          <w:color w:val="000000"/>
          <w:sz w:val="24"/>
        </w:rPr>
        <w:t xml:space="preserve">3. Exhaustive seasonal window search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Now you emulate his seasonal search engine.</w:t>
      </w:r>
      <w:bookmarkStart w:id="11" w:name="fnref6"/>
      <w:bookmarkEnd w:id="11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12" w:name="fnref7"/>
      <w:bookmarkEnd w:id="12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13" w:name="fnref8"/>
      <w:bookmarkEnd w:id="13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bookmarkStart w:id="14" w:name="fnref5_3"/>
      <w:bookmarkEnd w:id="14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Definition: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window is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(entry_doy, exit_doy)</w:t>
      </w:r>
      <w:r>
        <w:rPr>
          <w:rFonts w:eastAsia="georgia" w:cs="georgia" w:ascii="georgia" w:hAnsi="georgia"/>
          <w:color w:val="000000"/>
          <w:sz w:val="21"/>
        </w:rPr>
        <w:t xml:space="preserve"> in trading‑day space (or calendar day‑of‑year, but trading days are easier).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each year with both days present: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Long return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r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y</m:t>
            </m:r>
          </m:sub>
        </m:sSub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c</m:t>
        </m:r>
        <m:r>
          <m:rPr>
            <m:sty m:val="i"/>
          </m:rPr>
          <w:rPr>
            <w:color w:val="000000"/>
            <w:sz w:val="21"/>
          </w:rPr>
          <m:t>l</m:t>
        </m:r>
        <m:r>
          <m:rPr>
            <m:sty m:val="i"/>
          </m:rPr>
          <w:rPr>
            <w:color w:val="000000"/>
            <w:sz w:val="21"/>
          </w:rPr>
          <m:t>o</m:t>
        </m:r>
        <m:r>
          <m:rPr>
            <m:sty m:val="i"/>
          </m:rPr>
          <w:rPr>
            <w:color w:val="000000"/>
            <w:sz w:val="21"/>
          </w:rPr>
          <m:t>s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e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e</m:t>
            </m:r>
            <m:r>
              <m:rPr>
                <m:sty m:val="i"/>
              </m:rPr>
              <w:rPr>
                <w:color w:val="000000"/>
                <w:sz w:val="21"/>
              </w:rPr>
              <m:t>x</m:t>
            </m:r>
            <m:r>
              <m:rPr>
                <m:sty m:val="i"/>
              </m:rPr>
              <w:rPr>
                <w:color w:val="000000"/>
                <w:sz w:val="21"/>
              </w:rPr>
              <m:t>i</m:t>
            </m:r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sub>
        </m:sSub>
        <m:r>
          <m:rPr>
            <m:sty m:val="p"/>
          </m:rPr>
          <w:rPr>
            <w:color w:val="000000"/>
            <w:sz w:val="21"/>
          </w:rPr>
          <m:t>−</m:t>
        </m:r>
        <m:r>
          <m:rPr>
            <m:sty m:val="i"/>
          </m:rPr>
          <w:rPr>
            <w:color w:val="000000"/>
            <w:sz w:val="21"/>
          </w:rPr>
          <m:t>c</m:t>
        </m:r>
        <m:r>
          <m:rPr>
            <m:sty m:val="i"/>
          </m:rPr>
          <w:rPr>
            <w:color w:val="000000"/>
            <w:sz w:val="21"/>
          </w:rPr>
          <m:t>l</m:t>
        </m:r>
        <m:r>
          <m:rPr>
            <m:sty m:val="i"/>
          </m:rPr>
          <w:rPr>
            <w:color w:val="000000"/>
            <w:sz w:val="21"/>
          </w:rPr>
          <m:t>o</m:t>
        </m:r>
        <m:r>
          <m:rPr>
            <m:sty m:val="i"/>
          </m:rPr>
          <w:rPr>
            <w:color w:val="000000"/>
            <w:sz w:val="21"/>
          </w:rPr>
          <m:t>s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e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e</m:t>
            </m:r>
            <m:r>
              <m:rPr>
                <m:sty m:val="i"/>
              </m:rPr>
              <w:rPr>
                <w:color w:val="000000"/>
                <w:sz w:val="21"/>
              </w:rPr>
              <m:t>n</m:t>
            </m:r>
            <m:r>
              <m:rPr>
                <m:sty m:val="i"/>
              </m:rPr>
              <w:rPr>
                <w:color w:val="000000"/>
                <w:sz w:val="21"/>
              </w:rPr>
              <m:t>t</m:t>
            </m:r>
            <m:r>
              <m:rPr>
                <m:sty m:val="i"/>
              </m:rPr>
              <w:rPr>
                <w:color w:val="000000"/>
                <w:sz w:val="21"/>
              </w:rPr>
              <m:t>r</m:t>
            </m:r>
            <m:r>
              <m:rPr>
                <m:sty m:val="i"/>
              </m:rPr>
              <w:rPr>
                <w:color w:val="000000"/>
                <w:sz w:val="21"/>
              </w:rPr>
              <m:t>y</m:t>
            </m:r>
          </m:sub>
        </m:sSub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/</m:t>
        </m:r>
        <m:r>
          <m:rPr>
            <m:sty m:val="i"/>
          </m:rPr>
          <w:rPr>
            <w:color w:val="000000"/>
            <w:sz w:val="21"/>
          </w:rPr>
          <m:t>c</m:t>
        </m:r>
        <m:r>
          <m:rPr>
            <m:sty m:val="i"/>
          </m:rPr>
          <w:rPr>
            <w:color w:val="000000"/>
            <w:sz w:val="21"/>
          </w:rPr>
          <m:t>l</m:t>
        </m:r>
        <m:r>
          <m:rPr>
            <m:sty m:val="i"/>
          </m:rPr>
          <w:rPr>
            <w:color w:val="000000"/>
            <w:sz w:val="21"/>
          </w:rPr>
          <m:t>o</m:t>
        </m:r>
        <m:r>
          <m:rPr>
            <m:sty m:val="i"/>
          </m:rPr>
          <w:rPr>
            <w:color w:val="000000"/>
            <w:sz w:val="21"/>
          </w:rPr>
          <m:t>s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e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e</m:t>
            </m:r>
            <m:r>
              <m:rPr>
                <m:sty m:val="i"/>
              </m:rPr>
              <w:rPr>
                <w:color w:val="000000"/>
                <w:sz w:val="21"/>
              </w:rPr>
              <m:t>n</m:t>
            </m:r>
            <m:r>
              <m:rPr>
                <m:sty m:val="i"/>
              </m:rPr>
              <w:rPr>
                <w:color w:val="000000"/>
                <w:sz w:val="21"/>
              </w:rPr>
              <m:t>t</m:t>
            </m:r>
            <m:r>
              <m:rPr>
                <m:sty m:val="i"/>
              </m:rPr>
              <w:rPr>
                <w:color w:val="000000"/>
                <w:sz w:val="21"/>
              </w:rPr>
              <m:t>r</m:t>
            </m:r>
            <m:r>
              <m:rPr>
                <m:sty m:val="i"/>
              </m:rPr>
              <w:rPr>
                <w:color w:val="000000"/>
                <w:sz w:val="21"/>
              </w:rPr>
              <m:t>y</m:t>
            </m:r>
          </m:sub>
        </m:sSub>
      </m:oMath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For each candidate window aggregate: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n_trades</w:t>
      </w:r>
      <w:r>
        <w:rPr>
          <w:rFonts w:eastAsia="georgia" w:cs="georgia" w:ascii="georgia" w:hAnsi="georgia"/>
          <w:color w:val="000000"/>
          <w:sz w:val="21"/>
        </w:rPr>
        <w:t xml:space="preserve"> (years),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win_rate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avg_return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avg_win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avg_loss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profit_factor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max_consecutive_losses</w:t>
      </w:r>
      <w:r>
        <w:rPr>
          <w:rFonts w:eastAsia="georgia" w:cs="georgia" w:ascii="georgia" w:hAnsi="georgia"/>
          <w:color w:val="000000"/>
          <w:sz w:val="21"/>
        </w:rPr>
        <w:t xml:space="preserve">, simple equity‑curve max drawdown.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Search logic: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Loop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entry_doy</w:t>
      </w:r>
      <w:r>
        <w:rPr>
          <w:rFonts w:eastAsia="georgia" w:cs="georgia" w:ascii="georgia" w:hAnsi="georgia"/>
          <w:color w:val="000000"/>
          <w:sz w:val="21"/>
        </w:rPr>
        <w:t xml:space="preserve"> from, say, 5 to 240.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Loop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exit_doy</w:t>
      </w:r>
      <w:r>
        <w:rPr>
          <w:rFonts w:eastAsia="georgia" w:cs="georgia" w:ascii="georgia" w:hAnsi="georgia"/>
          <w:color w:val="000000"/>
          <w:sz w:val="21"/>
        </w:rPr>
        <w:t xml:space="preserve">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entry_doy + min_len</w:t>
      </w:r>
      <w:r>
        <w:rPr>
          <w:rFonts w:eastAsia="georgia" w:cs="georgia" w:ascii="georgia" w:hAnsi="georgia"/>
          <w:color w:val="000000"/>
          <w:sz w:val="21"/>
        </w:rPr>
        <w:t xml:space="preserve">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entry_doy + max_len</w:t>
      </w:r>
      <w:r>
        <w:rPr>
          <w:rFonts w:eastAsia="georgia" w:cs="georgia" w:ascii="georgia" w:hAnsi="georgia"/>
          <w:color w:val="000000"/>
          <w:sz w:val="21"/>
        </w:rPr>
        <w:t xml:space="preserve"> (e.g., 5–40 days).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Discard windows with too few years (e.g.,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n_trades &lt; 15</w:t>
      </w:r>
      <w:r>
        <w:rPr>
          <w:rFonts w:eastAsia="georgia" w:cs="georgia" w:ascii="georgia" w:hAnsi="georgia"/>
          <w:color w:val="000000"/>
          <w:sz w:val="21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Result: a DataFrame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seasonal_windows</w:t>
      </w:r>
      <w:r>
        <w:rPr>
          <w:rFonts w:eastAsia="georgia" w:cs="georgia" w:ascii="georgia" w:hAnsi="georgia"/>
          <w:color w:val="000000"/>
        </w:rPr>
        <w:t xml:space="preserve"> where each row is one key‑date candidate with full stats.</w:t>
      </w:r>
    </w:p>
    <w:p>
      <w:pPr>
        <w:spacing w:line="360" w:before="315" w:after="105" w:lineRule="auto"/>
        <w:ind w:left="-30"/>
        <w:jc w:val="left"/>
      </w:pPr>
      <w:bookmarkStart w:id="15" w:name="bm_4_filter_down_to_high_odds_alc_8951fa"/>
      <w:r>
        <w:rPr>
          <w:rFonts w:eastAsia="georgia" w:cs="georgia" w:ascii="georgia" w:hAnsi="georgia"/>
          <w:b/>
          <w:color w:val="000000"/>
          <w:sz w:val="24"/>
        </w:rPr>
        <w:t xml:space="preserve">4. Filter down to “high‑odds” Alcoa windows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is his “cream of the crop via AI/metrics” step.</w:t>
      </w:r>
      <w:bookmarkStart w:id="16" w:name="fnref9"/>
      <w:bookmarkEnd w:id="16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  <w:bookmarkStart w:id="17" w:name="fnref7_1"/>
      <w:bookmarkEnd w:id="17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18" w:name="fnref8_1"/>
      <w:bookmarkEnd w:id="18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bookmarkStart w:id="19" w:name="fnref10"/>
      <w:bookmarkEnd w:id="19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20" w:name="fnref6_1"/>
      <w:bookmarkEnd w:id="20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Choose filters similar to his 11‑metric logic: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n_trades &gt;= 15</w:t>
      </w:r>
      <w:r>
        <w:rPr>
          <w:rFonts w:eastAsia="georgia" w:cs="georgia" w:ascii="georgia" w:hAnsi="georgia"/>
          <w:color w:val="000000"/>
          <w:sz w:val="21"/>
        </w:rPr>
        <w:t xml:space="preserve"> (or 20+).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win_rate &gt;= 0.65–0.70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profit_factor &gt;= 1.5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max_drawdown</w:t>
      </w:r>
      <w:r>
        <w:rPr>
          <w:rFonts w:eastAsia="georgia" w:cs="georgia" w:ascii="georgia" w:hAnsi="georgia"/>
          <w:color w:val="000000"/>
          <w:sz w:val="21"/>
        </w:rPr>
        <w:t xml:space="preserve"> below a threshold.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Window length in a reasonable range (e.g., 10–30 days).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Define a score, e.g.: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score = win_rate * profit_factor / (1 + max_drawdown_abs)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Sort by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score</w:t>
      </w:r>
      <w:r>
        <w:rPr>
          <w:rFonts w:eastAsia="georgia" w:cs="georgia" w:ascii="georgia" w:hAnsi="georgia"/>
          <w:color w:val="000000"/>
        </w:rPr>
        <w:t xml:space="preserve"> and inspect the top, especially those around mid‑November to year‑end to see if you get something similar to his AA example.</w:t>
      </w:r>
      <w:bookmarkStart w:id="21" w:name="fnref5_4"/>
      <w:bookmarkEnd w:id="21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Each of these top rows is your “proto” </w:t>
      </w:r>
      <w:r>
        <w:rPr>
          <w:rFonts w:eastAsia="georgia" w:cs="georgia" w:ascii="georgia" w:hAnsi="georgia"/>
          <w:b/>
          <w:color w:val="000000"/>
        </w:rPr>
        <w:t xml:space="preserve">Key Date Trade</w:t>
      </w:r>
      <w:r>
        <w:rPr>
          <w:rFonts w:eastAsia="georgia" w:cs="georgia" w:ascii="georgia" w:hAnsi="georgia"/>
          <w:color w:val="000000"/>
        </w:rPr>
        <w:t xml:space="preserve"> for Alcoa.</w:t>
      </w:r>
    </w:p>
    <w:p>
      <w:pPr>
        <w:spacing w:line="360" w:before="315" w:after="105" w:lineRule="auto"/>
        <w:ind w:left="-30"/>
        <w:jc w:val="left"/>
      </w:pPr>
      <w:bookmarkStart w:id="22" w:name="bm_5_derive_stop_and_target_from_71b102"/>
      <w:r>
        <w:rPr>
          <w:rFonts w:eastAsia="georgia" w:cs="georgia" w:ascii="georgia" w:hAnsi="georgia"/>
          <w:b/>
          <w:color w:val="000000"/>
          <w:sz w:val="24"/>
        </w:rPr>
        <w:t xml:space="preserve">5. Derive stop and target from historical path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Now turn each seasonal window into a full trade spec.</w:t>
      </w:r>
      <w:bookmarkStart w:id="23" w:name="fnref8_2"/>
      <w:bookmarkEnd w:id="23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bookmarkStart w:id="24" w:name="fnref10_1"/>
      <w:bookmarkEnd w:id="24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25" w:name="fnref9_1"/>
      <w:bookmarkEnd w:id="25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  <w:bookmarkStart w:id="26" w:name="fnref6_2"/>
      <w:bookmarkEnd w:id="26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For one specific window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(entry_doy, exit_doy)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each year’s trade, reconstruct the day‑by‑day path between entry and exit.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Compute per‑trade series: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MAE (max adverse excursion from entry in %).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MFE (max favorable excursion from entry in %).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Across years: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stop_pct = quantile(MAE, 0.9)</w:t>
      </w:r>
      <w:r>
        <w:rPr>
          <w:rFonts w:eastAsia="georgia" w:cs="georgia" w:ascii="georgia" w:hAnsi="georgia"/>
          <w:color w:val="000000"/>
          <w:sz w:val="21"/>
        </w:rPr>
        <w:t xml:space="preserve"> (e.g., size stop so 90% of historical trades would have survived).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target_pct = median(MFE)</w:t>
      </w:r>
      <w:r>
        <w:rPr>
          <w:rFonts w:eastAsia="georgia" w:cs="georgia" w:ascii="georgia" w:hAnsi="georgia"/>
          <w:color w:val="000000"/>
          <w:sz w:val="21"/>
        </w:rPr>
        <w:t xml:space="preserve"> or 70th percentile.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Now define the Alcoa rule: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Entry: long AA at close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entry_doy</w:t>
      </w:r>
      <w:r>
        <w:rPr>
          <w:rFonts w:eastAsia="georgia" w:cs="georgia" w:ascii="georgia" w:hAnsi="georgia"/>
          <w:color w:val="000000"/>
          <w:sz w:val="21"/>
        </w:rPr>
        <w:t xml:space="preserve"> (or next day’s open).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Stop: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entry_price * (1 - stop_pct)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Target: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entry_price * (1 + target_pct)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Time exit: close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exit_doy</w:t>
      </w:r>
      <w:r>
        <w:rPr>
          <w:rFonts w:eastAsia="georgia" w:cs="georgia" w:ascii="georgia" w:hAnsi="georgia"/>
          <w:color w:val="000000"/>
          <w:sz w:val="21"/>
        </w:rPr>
        <w:t xml:space="preserve"> if neither stop nor target hit.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That’s essentially what his Key Date entries show: trade length, odds, stop type, etc.</w:t>
      </w:r>
      <w:bookmarkStart w:id="27" w:name="fnref10_2"/>
      <w:bookmarkEnd w:id="27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28" w:name="fnref9_2"/>
      <w:bookmarkEnd w:id="28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  <w:bookmarkStart w:id="29" w:name="fnref6_3"/>
      <w:bookmarkEnd w:id="29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30" w:name="fnref8_3"/>
      <w:bookmarkEnd w:id="30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bookmarkStart w:id="31" w:name="bm_6_add_a_simple_timing_trigger_c4f3de"/>
      <w:r>
        <w:rPr>
          <w:rFonts w:eastAsia="georgia" w:cs="georgia" w:ascii="georgia" w:hAnsi="georgia"/>
          <w:b/>
          <w:color w:val="000000"/>
          <w:sz w:val="24"/>
        </w:rPr>
        <w:t xml:space="preserve">6. Add a simple timing trigger (daily version)</w:t>
      </w:r>
      <w:bookmarkEnd w:id="3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To be faithful to Jake, bolt on a daily timing trigger inside the same window.</w:t>
      </w:r>
      <w:bookmarkStart w:id="32" w:name="fnref11"/>
      <w:bookmarkEnd w:id="32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  <w:bookmarkStart w:id="33" w:name="fnref12"/>
      <w:bookmarkEnd w:id="33"/>
      <w:hyperlink w:anchor="fn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[12]</w:t>
        </w:r>
      </w:hyperlink>
      <w:bookmarkStart w:id="34" w:name="fnref13"/>
      <w:bookmarkEnd w:id="34"/>
      <w:hyperlink w:anchor="fn1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[13]</w:t>
        </w:r>
      </w:hyperlink>
      <w:bookmarkStart w:id="35" w:name="fnref14"/>
      <w:bookmarkEnd w:id="35"/>
      <w:hyperlink w:anchor="fn1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[14]</w:t>
        </w:r>
      </w:hyperlink>
      <w:bookmarkStart w:id="36" w:name="fnref4_1"/>
      <w:bookmarkEnd w:id="36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37" w:name="fnref9_3"/>
      <w:bookmarkEnd w:id="37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He explicitly gives one simple trigger in his hotline sample: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Compute 8‑day SMA of close and 8‑day SMA of open.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a long seasonal trade: on the entry date, take the trade only if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SMA8_close &gt; SMA8_open</w:t>
      </w:r>
      <w:r>
        <w:rPr>
          <w:rFonts w:eastAsia="georgia" w:cs="georgia" w:ascii="georgia" w:hAnsi="georgia"/>
          <w:color w:val="000000"/>
          <w:sz w:val="21"/>
        </w:rPr>
        <w:t xml:space="preserve">; for shorts,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SMA8_close &lt; SMA8_open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  <w:bookmarkStart w:id="38" w:name="fnref9_4"/>
      <w:bookmarkEnd w:id="38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Implementation idea: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each year, within a small entry band (e.g., entry_doy ± 2 days):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Find the first day where the trigger holds; that becomes the actual entry date.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no trigger fires, skip the trade for that year.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Recompute all the statistics (win_rate, PF, DD) with this triggered entry instead of blind calendar entry.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gives you the same “setup = seasonal, trigger = SMA rule, follow‑through = stop/target/time exit” structure he uses.</w:t>
      </w:r>
      <w:bookmarkStart w:id="39" w:name="fnref12_1"/>
      <w:bookmarkEnd w:id="39"/>
      <w:hyperlink w:anchor="fn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[12]</w:t>
        </w:r>
      </w:hyperlink>
      <w:bookmarkStart w:id="40" w:name="fnref13_1"/>
      <w:bookmarkEnd w:id="40"/>
      <w:hyperlink w:anchor="fn1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[13]</w:t>
        </w:r>
      </w:hyperlink>
      <w:bookmarkStart w:id="41" w:name="fnref4_2"/>
      <w:bookmarkEnd w:id="41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42" w:name="fnref11_1"/>
      <w:bookmarkEnd w:id="42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  <w:bookmarkStart w:id="43" w:name="fnref9_5"/>
      <w:bookmarkEnd w:id="43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bookmarkStart w:id="44" w:name="bm_7_backtest_and_export_results"/>
      <w:r>
        <w:rPr>
          <w:rFonts w:eastAsia="georgia" w:cs="georgia" w:ascii="georgia" w:hAnsi="georgia"/>
          <w:b/>
          <w:color w:val="000000"/>
          <w:sz w:val="24"/>
        </w:rPr>
        <w:t xml:space="preserve">7. Backtest and export results</w:t>
      </w:r>
      <w:bookmarkEnd w:id="4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Build a backtest function: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Inputs: AA daily DataFrame, a list of seasonal windows with derived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stop_pct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target_pct</w:t>
      </w:r>
      <w:r>
        <w:rPr>
          <w:rFonts w:eastAsia="georgia" w:cs="georgia" w:ascii="georgia" w:hAnsi="georgia"/>
          <w:color w:val="000000"/>
          <w:sz w:val="21"/>
        </w:rPr>
        <w:t xml:space="preserve">, and trigger rule.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Output: trade list with per‑trade stats plus strategy‑level stats.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Save: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Seasonal windows to CSV.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Trade ledger to CSV.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Plots showing: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Seasonal curve.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Equity curve for the chosen Alcoa seasonal trade.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If you’d like, I can next sketch actual function signatures/pseudocode (e.g.,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build_trading_calendar(df)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scan_seasonals(df)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derive_stop_target(df, window)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backtest_seasonal_trade(df, window, trigger_fn)</w:t>
      </w:r>
      <w:r>
        <w:rPr>
          <w:rFonts w:eastAsia="georgia" w:cs="georgia" w:ascii="georgia" w:hAnsi="georgia"/>
          <w:color w:val="000000"/>
        </w:rPr>
        <w:t xml:space="preserve">) that you can drop into a notebook and then fill in with your own vectorized logic. Would you prefer those signatures to assume one ticker (AA) per run, or be generic multi‑ticker from the start?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5" w:name="fn1"/>
    <w:bookmarkEnd w:id="45"/>
    <w:p>
      <w:pPr>
        <w:numPr>
          <w:ilvl w:val="0"/>
          <w:numId w:val="16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https://www.w3schools.in/python/examples/fetch-historical-stock-data-using-pythons-yfinance-library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" w:name="fn2"/>
    <w:bookmarkEnd w:id="46"/>
    <w:p>
      <w:pPr>
        <w:numPr>
          <w:ilvl w:val="0"/>
          <w:numId w:val="16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https://www.geeksforgeeks.org/python/getting-stock-data-using-yfinance-in-python/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7" w:name="fn3"/>
    <w:bookmarkEnd w:id="47"/>
    <w:p>
      <w:pPr>
        <w:numPr>
          <w:ilvl w:val="0"/>
          <w:numId w:val="16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https://www.linkedin.com/pulse/fetching-stock-market-data-made-simple-python-yfinance-prashant-singh-a2ysc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8" w:name="fn4"/>
    <w:bookmarkEnd w:id="48"/>
    <w:p>
      <w:pPr>
        <w:numPr>
          <w:ilvl w:val="0"/>
          <w:numId w:val="16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https://www.youtube.com/watch?v=rE7ZzJG0kEo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9" w:name="fn5"/>
    <w:bookmarkEnd w:id="49"/>
    <w:p>
      <w:pPr>
        <w:numPr>
          <w:ilvl w:val="0"/>
          <w:numId w:val="16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https://www.youtube.com/watch?v=7BlVTBjrd1s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0" w:name="fn6"/>
    <w:bookmarkEnd w:id="50"/>
    <w:p>
      <w:pPr>
        <w:numPr>
          <w:ilvl w:val="0"/>
          <w:numId w:val="16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https://seasonaltrader.com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1" w:name="fn7"/>
    <w:bookmarkEnd w:id="51"/>
    <w:p>
      <w:pPr>
        <w:numPr>
          <w:ilvl w:val="0"/>
          <w:numId w:val="16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https://seasonaltrader.com/ST_Help/Content/Wecome.htm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2" w:name="fn8"/>
    <w:bookmarkEnd w:id="52"/>
    <w:p>
      <w:pPr>
        <w:numPr>
          <w:ilvl w:val="0"/>
          <w:numId w:val="16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https://seasonaltrader.com/info/index.htm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3" w:name="fn9"/>
    <w:bookmarkEnd w:id="53"/>
    <w:p>
      <w:pPr>
        <w:numPr>
          <w:ilvl w:val="0"/>
          <w:numId w:val="16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https://media.trade-futures.com/media/hotlines_2020/hotlines_2020_5.html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4" w:name="fn10"/>
    <w:bookmarkEnd w:id="54"/>
    <w:p>
      <w:pPr>
        <w:numPr>
          <w:ilvl w:val="0"/>
          <w:numId w:val="16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https://trade-futures.com/STB_2018/STB_2018.html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5" w:name="fn11"/>
    <w:bookmarkEnd w:id="55"/>
    <w:p>
      <w:pPr>
        <w:numPr>
          <w:ilvl w:val="0"/>
          <w:numId w:val="16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https://www.youtube.com/watch?v=WWZNEMLJf7A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6" w:name="fn12"/>
    <w:bookmarkEnd w:id="56"/>
    <w:p>
      <w:pPr>
        <w:numPr>
          <w:ilvl w:val="0"/>
          <w:numId w:val="16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https://www.youtube.com/watch?v=06XT6GEoBOM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7" w:name="fn13"/>
    <w:bookmarkEnd w:id="57"/>
    <w:p>
      <w:pPr>
        <w:numPr>
          <w:ilvl w:val="0"/>
          <w:numId w:val="16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https://forestbergen.com/portfolio-item/jake-bernsteins-setup-and-timing-triggers/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8" w:name="fn14"/>
    <w:bookmarkEnd w:id="58"/>
    <w:p>
      <w:pPr>
        <w:numPr>
          <w:ilvl w:val="0"/>
          <w:numId w:val="16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https://www.youtube.com/watch?v=I2UBf3XCwA8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9" w:name="fn15"/>
    <w:bookmarkEnd w:id="59"/>
    <w:p>
      <w:pPr>
        <w:numPr>
          <w:ilvl w:val="0"/>
          <w:numId w:val="16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https://www.youtube.com/watch?v=vaYCGta6ISQ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0" w:name="fn16"/>
    <w:bookmarkEnd w:id="60"/>
    <w:p>
      <w:pPr>
        <w:numPr>
          <w:ilvl w:val="0"/>
          <w:numId w:val="16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https://etheses.bham.ac.uk/5521/1/Li14PhD.pdf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1" w:name="fn17"/>
    <w:bookmarkEnd w:id="61"/>
    <w:p>
      <w:pPr>
        <w:numPr>
          <w:ilvl w:val="0"/>
          <w:numId w:val="16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https://nzdr.ru/data/media/biblio/kolxoz/F/FT/Fontanills G.A., Gentile T. The stock market course (Wiley, 2001)(ISBN 0471393150)(463s)</w:t>
        </w:r>
      </w:hyperlink>
      <w:r>
        <w:rPr>
          <w:rFonts w:eastAsia="georgia" w:cs="georgia" w:ascii="georgia" w:hAnsi="georgia"/>
          <w:i/>
          <w:color w:val="000000"/>
          <w:sz w:val="18"/>
        </w:rPr>
        <w:t xml:space="preserve">FT</w:t>
      </w:r>
      <w:r>
        <w:rPr>
          <w:rFonts w:eastAsia="georgia" w:cs="georgia" w:ascii="georgia" w:hAnsi="georgia"/>
          <w:color w:val="000000"/>
          <w:sz w:val="18"/>
        </w:rPr>
        <w:t xml:space="preserve">.pdf </w:t>
      </w:r>
    </w:p>
    <w:bookmarkStart w:id="62" w:name="fn18"/>
    <w:bookmarkEnd w:id="62"/>
    <w:p>
      <w:pPr>
        <w:numPr>
          <w:ilvl w:val="0"/>
          <w:numId w:val="16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https://asset.quant-wiki.com/pdf/Finding Alphas.pdf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3" w:name="fn19"/>
    <w:bookmarkEnd w:id="63"/>
    <w:p>
      <w:pPr>
        <w:numPr>
          <w:ilvl w:val="0"/>
          <w:numId w:val="16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https://www.scribd.com/document/349095579/Forecasting-Profits-Using-Price-and-Time-pdf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4" w:name="fn20"/>
    <w:bookmarkEnd w:id="64"/>
    <w:p>
      <w:pPr>
        <w:numPr>
          <w:ilvl w:val="0"/>
          <w:numId w:val="16"/>
        </w:numPr>
        <w:spacing w:line="360" w:after="210" w:lineRule="auto"/>
      </w:pPr>
      <w:hyperlink r:id="rId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https://digitalcommons.longwood.edu/cgi/viewcontent.cgi?article=1136&amp;context=etd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5" w:name="fn21"/>
    <w:bookmarkEnd w:id="65"/>
    <w:p>
      <w:pPr>
        <w:numPr>
          <w:ilvl w:val="0"/>
          <w:numId w:val="16"/>
        </w:numPr>
        <w:spacing w:line="360" w:after="210" w:lineRule="auto"/>
      </w:pPr>
      <w:hyperlink r:id="rId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https://www.trade-futures.com/advanced.php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6" w:name="fn22"/>
    <w:bookmarkEnd w:id="66"/>
    <w:p>
      <w:pPr>
        <w:numPr>
          <w:ilvl w:val="0"/>
          <w:numId w:val="16"/>
        </w:numPr>
        <w:spacing w:line="360" w:after="210" w:lineRule="auto"/>
      </w:pPr>
      <w:hyperlink r:id="rId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https://afajof.org/wp-content/uploads/files/historical-texts/Financial_Theory_and_Corpora.pdf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99e80a0edcc7b2636bf32f9a9ec82c11f08edaed.png" TargetMode="Internal"/><Relationship Id="rId6" Type="http://schemas.openxmlformats.org/officeDocument/2006/relationships/hyperlink" Target="https://www.w3schools.in/python/examples/fetch-historical-stock-data-using-pythons-yfinance-library" TargetMode="External"/><Relationship Id="rId7" Type="http://schemas.openxmlformats.org/officeDocument/2006/relationships/hyperlink" Target="https://www.geeksforgeeks.org/python/getting-stock-data-using-yfinance-in-python/" TargetMode="External"/><Relationship Id="rId8" Type="http://schemas.openxmlformats.org/officeDocument/2006/relationships/hyperlink" Target="https://www.linkedin.com/pulse/fetching-stock-market-data-made-simple-python-yfinance-prashant-singh-a2ysc" TargetMode="External"/><Relationship Id="rId9" Type="http://schemas.openxmlformats.org/officeDocument/2006/relationships/hyperlink" Target="https://www.youtube.com/watch?v=rE7ZzJG0kEo" TargetMode="External"/><Relationship Id="rId10" Type="http://schemas.openxmlformats.org/officeDocument/2006/relationships/hyperlink" Target="https://www.youtube.com/watch?v=7BlVTBjrd1s" TargetMode="External"/><Relationship Id="rId11" Type="http://schemas.openxmlformats.org/officeDocument/2006/relationships/hyperlink" Target="https://seasonaltrader.com" TargetMode="External"/><Relationship Id="rId12" Type="http://schemas.openxmlformats.org/officeDocument/2006/relationships/hyperlink" Target="https://seasonaltrader.com/ST_Help/Content/Wecome.htm" TargetMode="External"/><Relationship Id="rId13" Type="http://schemas.openxmlformats.org/officeDocument/2006/relationships/hyperlink" Target="https://seasonaltrader.com/info/index.htm" TargetMode="External"/><Relationship Id="rId14" Type="http://schemas.openxmlformats.org/officeDocument/2006/relationships/hyperlink" Target="https://media.trade-futures.com/media/hotlines_2020/hotlines_2020_5.html" TargetMode="External"/><Relationship Id="rId15" Type="http://schemas.openxmlformats.org/officeDocument/2006/relationships/hyperlink" Target="https://trade-futures.com/STB_2018/STB_2018.html" TargetMode="External"/><Relationship Id="rId16" Type="http://schemas.openxmlformats.org/officeDocument/2006/relationships/hyperlink" Target="https://www.youtube.com/watch?v=WWZNEMLJf7A" TargetMode="External"/><Relationship Id="rId17" Type="http://schemas.openxmlformats.org/officeDocument/2006/relationships/hyperlink" Target="https://www.youtube.com/watch?v=06XT6GEoBOM" TargetMode="External"/><Relationship Id="rId18" Type="http://schemas.openxmlformats.org/officeDocument/2006/relationships/hyperlink" Target="https://forestbergen.com/portfolio-item/jake-bernsteins-setup-and-timing-triggers/" TargetMode="External"/><Relationship Id="rId19" Type="http://schemas.openxmlformats.org/officeDocument/2006/relationships/hyperlink" Target="https://www.youtube.com/watch?v=I2UBf3XCwA8" TargetMode="External"/><Relationship Id="rId20" Type="http://schemas.openxmlformats.org/officeDocument/2006/relationships/hyperlink" Target="https://www.youtube.com/watch?v=vaYCGta6ISQ" TargetMode="External"/><Relationship Id="rId21" Type="http://schemas.openxmlformats.org/officeDocument/2006/relationships/hyperlink" Target="https://etheses.bham.ac.uk/5521/1/Li14PhD.pdf" TargetMode="External"/><Relationship Id="rId22" Type="http://schemas.openxmlformats.org/officeDocument/2006/relationships/hyperlink" Target="https://nzdr.ru/data/media/biblio/kolxoz/F/FT/Fontanills%20G.A.,%20Gentile%20T.%20The%20stock%20market%20course%20(Wiley,%202001)(ISBN%200471393150)(463s)" TargetMode="External"/><Relationship Id="rId23" Type="http://schemas.openxmlformats.org/officeDocument/2006/relationships/hyperlink" Target="https://asset.quant-wiki.com/pdf/Finding%20Alphas.pdf" TargetMode="External"/><Relationship Id="rId24" Type="http://schemas.openxmlformats.org/officeDocument/2006/relationships/hyperlink" Target="https://www.scribd.com/document/349095579/Forecasting-Profits-Using-Price-and-Time-pdf" TargetMode="External"/><Relationship Id="rId25" Type="http://schemas.openxmlformats.org/officeDocument/2006/relationships/hyperlink" Target="https://digitalcommons.longwood.edu/cgi/viewcontent.cgi?article=1136&amp;context=etd" TargetMode="External"/><Relationship Id="rId26" Type="http://schemas.openxmlformats.org/officeDocument/2006/relationships/hyperlink" Target="https://www.trade-futures.com/advanced.php" TargetMode="External"/><Relationship Id="rId27" Type="http://schemas.openxmlformats.org/officeDocument/2006/relationships/hyperlink" Target="https://afajof.org/wp-content/uploads/files/historical-texts/Financial_Theory_and_Corpora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2026-03-27T06:26:52.526Z</dcterms:created>
  <dcterms:modified xsi:type="dcterms:W3CDTF">2026-03-27T06:26:52.526Z</dcterms:modified>
</cp:coreProperties>
</file>