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461DA" w14:textId="2E9DF6D9" w:rsidR="00F50BCF" w:rsidRPr="00F50BCF" w:rsidRDefault="00F50BCF" w:rsidP="00F50BCF">
      <w:pPr>
        <w:pStyle w:val="Header"/>
        <w:rPr>
          <w:b/>
        </w:rPr>
      </w:pPr>
      <w:r w:rsidRPr="00F50BCF">
        <w:rPr>
          <w:b/>
        </w:rPr>
        <w:t xml:space="preserve">Allowing Monitoring of the Census Trusted Internet Connection with Einstein 3 </w:t>
      </w:r>
      <w:r w:rsidR="00AE234E">
        <w:rPr>
          <w:b/>
        </w:rPr>
        <w:t xml:space="preserve">Accelerated </w:t>
      </w:r>
      <w:r w:rsidRPr="00F50BCF">
        <w:rPr>
          <w:b/>
        </w:rPr>
        <w:t>and TLS Decryption While Preserving Respondent Confidentiality</w:t>
      </w:r>
    </w:p>
    <w:p w14:paraId="51C7561C" w14:textId="77777777" w:rsidR="00F50BCF" w:rsidRDefault="00F50BCF"/>
    <w:p w14:paraId="2A4B67CB" w14:textId="77777777" w:rsidR="000F3F35" w:rsidRDefault="000F3F35" w:rsidP="00E8008F">
      <w:pPr>
        <w:pStyle w:val="Heading1"/>
      </w:pPr>
      <w:r>
        <w:t>Background</w:t>
      </w:r>
    </w:p>
    <w:p w14:paraId="0D613081" w14:textId="77777777" w:rsidR="002E0BE7" w:rsidRDefault="000F3F35">
      <w:r>
        <w:t>As part of its Trusted Internet Connection program</w:t>
      </w:r>
      <w:r w:rsidR="00616C74">
        <w:rPr>
          <w:rStyle w:val="FootnoteReference"/>
        </w:rPr>
        <w:footnoteReference w:id="1"/>
      </w:r>
      <w:r>
        <w:t xml:space="preserve">, the Department of Homeland Security (DHS) is requiring that civilian government agencies have their internet connections monitored by the Einstein 3 network monitoring system. </w:t>
      </w:r>
    </w:p>
    <w:p w14:paraId="43693D8F" w14:textId="2E05DD87" w:rsidR="002E0BE7" w:rsidRDefault="000F3F35" w:rsidP="002E0BE7">
      <w:proofErr w:type="gramStart"/>
      <w:r>
        <w:t>According to</w:t>
      </w:r>
      <w:proofErr w:type="gramEnd"/>
      <w:r>
        <w:t xml:space="preserve"> published reports</w:t>
      </w:r>
      <w:r w:rsidR="002E0BE7">
        <w:t xml:space="preserve"> and other sources</w:t>
      </w:r>
      <w:r>
        <w:t>, Einstein 3</w:t>
      </w:r>
      <w:r w:rsidR="00AE234E">
        <w:t xml:space="preserve"> Accelerated</w:t>
      </w:r>
      <w:r w:rsidR="00AE234E">
        <w:rPr>
          <w:rStyle w:val="FootnoteReference"/>
        </w:rPr>
        <w:footnoteReference w:id="2"/>
      </w:r>
      <w:r w:rsidR="00AE234E">
        <w:t xml:space="preserve"> (</w:t>
      </w:r>
      <w:bookmarkStart w:id="2" w:name="OLE_LINK25"/>
      <w:bookmarkStart w:id="3" w:name="OLE_LINK26"/>
      <w:bookmarkStart w:id="4" w:name="OLE_LINK1"/>
      <w:r w:rsidR="00AE234E">
        <w:t>E</w:t>
      </w:r>
      <w:r w:rsidR="00AE234E" w:rsidRPr="002E0BE7">
        <w:rPr>
          <w:vertAlign w:val="superscript"/>
        </w:rPr>
        <w:t>3</w:t>
      </w:r>
      <w:r w:rsidR="00AE234E">
        <w:t>A</w:t>
      </w:r>
      <w:bookmarkEnd w:id="2"/>
      <w:bookmarkEnd w:id="3"/>
      <w:bookmarkEnd w:id="4"/>
      <w:r w:rsidR="00AE234E">
        <w:t xml:space="preserve">) </w:t>
      </w:r>
      <w:r w:rsidR="002E0BE7">
        <w:t xml:space="preserve">has the following capabilities: </w:t>
      </w:r>
    </w:p>
    <w:p w14:paraId="6FE83A79" w14:textId="10ACB2B7" w:rsidR="002E0BE7" w:rsidRDefault="002E0BE7" w:rsidP="007E5705">
      <w:pPr>
        <w:pStyle w:val="ListParagraph"/>
        <w:numPr>
          <w:ilvl w:val="0"/>
          <w:numId w:val="6"/>
        </w:numPr>
      </w:pPr>
      <w:r>
        <w:t>M</w:t>
      </w:r>
      <w:r w:rsidR="000F3F35">
        <w:t>onitor</w:t>
      </w:r>
      <w:r>
        <w:t>ing</w:t>
      </w:r>
      <w:r w:rsidR="000F3F35">
        <w:t xml:space="preserve"> IP source &amp; destination addresses</w:t>
      </w:r>
      <w:r>
        <w:t xml:space="preserve"> (flow analysis)</w:t>
      </w:r>
    </w:p>
    <w:p w14:paraId="0691F240" w14:textId="55CD463B" w:rsidR="002E0BE7" w:rsidRDefault="002E0BE7" w:rsidP="007E5705">
      <w:pPr>
        <w:pStyle w:val="ListParagraph"/>
        <w:numPr>
          <w:ilvl w:val="0"/>
          <w:numId w:val="6"/>
        </w:numPr>
      </w:pPr>
      <w:r>
        <w:t xml:space="preserve">Monitoring of </w:t>
      </w:r>
      <w:r w:rsidR="000F3F35">
        <w:t xml:space="preserve">email headers (e.g. To: and </w:t>
      </w:r>
      <w:proofErr w:type="gramStart"/>
      <w:r w:rsidR="000F3F35">
        <w:t>From</w:t>
      </w:r>
      <w:proofErr w:type="gramEnd"/>
      <w:r w:rsidR="000F3F35">
        <w:t>: fields)</w:t>
      </w:r>
      <w:r>
        <w:t xml:space="preserve"> (email analysis)</w:t>
      </w:r>
    </w:p>
    <w:p w14:paraId="29D9986C" w14:textId="2E7AC366" w:rsidR="000F3F35" w:rsidRDefault="002E0BE7" w:rsidP="007E5705">
      <w:pPr>
        <w:pStyle w:val="ListParagraph"/>
        <w:numPr>
          <w:ilvl w:val="0"/>
          <w:numId w:val="6"/>
        </w:numPr>
      </w:pPr>
      <w:r>
        <w:t xml:space="preserve">Decryption of </w:t>
      </w:r>
      <w:r w:rsidR="000F3F35">
        <w:t>Hypertext Transfer Protocol Secure (HTTPS) and other protocols encrypted with Transport Layer Security (TLS)</w:t>
      </w:r>
      <w:r w:rsidR="00D81616">
        <w:rPr>
          <w:rStyle w:val="FootnoteReference"/>
        </w:rPr>
        <w:footnoteReference w:id="3"/>
      </w:r>
    </w:p>
    <w:p w14:paraId="7992337D" w14:textId="2CA19D4A" w:rsidR="002E0BE7" w:rsidRDefault="002E0BE7" w:rsidP="002E0BE7">
      <w:r>
        <w:t>These capabilities are used to provide the following functions:</w:t>
      </w:r>
    </w:p>
    <w:p w14:paraId="24CD3AE1" w14:textId="59ADEB83" w:rsidR="002E0BE7" w:rsidRDefault="002E0BE7" w:rsidP="007E5705">
      <w:pPr>
        <w:pStyle w:val="ListParagraph"/>
        <w:numPr>
          <w:ilvl w:val="0"/>
          <w:numId w:val="6"/>
        </w:numPr>
      </w:pPr>
      <w:r>
        <w:t>Protection of agency information systems from known attackers and ongoing attacks</w:t>
      </w:r>
    </w:p>
    <w:p w14:paraId="7ACFF359" w14:textId="4AE608AF" w:rsidR="002E0BE7" w:rsidRDefault="002E0BE7" w:rsidP="007E5705">
      <w:pPr>
        <w:pStyle w:val="ListParagraph"/>
        <w:numPr>
          <w:ilvl w:val="0"/>
          <w:numId w:val="6"/>
        </w:numPr>
      </w:pPr>
      <w:r>
        <w:t>Discovery of new attackers and attacks</w:t>
      </w:r>
    </w:p>
    <w:p w14:paraId="66EB4231" w14:textId="57F81D4D" w:rsidR="002E0BE7" w:rsidRDefault="002E0BE7" w:rsidP="007E5705">
      <w:pPr>
        <w:pStyle w:val="ListParagraph"/>
        <w:numPr>
          <w:ilvl w:val="0"/>
          <w:numId w:val="6"/>
        </w:numPr>
      </w:pPr>
      <w:r>
        <w:t xml:space="preserve">Government-wide situational awareness </w:t>
      </w:r>
    </w:p>
    <w:p w14:paraId="01DE8C6A" w14:textId="033FD5E9" w:rsidR="00360EEE" w:rsidRDefault="00360EEE" w:rsidP="007E5705">
      <w:pPr>
        <w:pStyle w:val="Heading3"/>
      </w:pPr>
      <w:r>
        <w:t>SSL</w:t>
      </w:r>
      <w:r w:rsidR="00D81616">
        <w:t>/TLS</w:t>
      </w:r>
      <w:r>
        <w:t xml:space="preserve"> Decryption</w:t>
      </w:r>
    </w:p>
    <w:p w14:paraId="1BB935E0" w14:textId="5C7FA896" w:rsidR="000F3F35" w:rsidRDefault="00C508A6">
      <w:proofErr w:type="gramStart"/>
      <w:r>
        <w:t>According to</w:t>
      </w:r>
      <w:proofErr w:type="gramEnd"/>
      <w:r>
        <w:t xml:space="preserve"> the May 6, 2016 Privacy Impact Assessment Update, </w:t>
      </w:r>
      <w:bookmarkStart w:id="5" w:name="OLE_LINK10"/>
      <w:bookmarkStart w:id="6" w:name="OLE_LINK11"/>
      <w:r>
        <w:t>“WCF [Web Content Filtering] capabilities also include in-line Secure Socket Layer (SSL) decryption.”</w:t>
      </w:r>
      <w:r>
        <w:rPr>
          <w:rStyle w:val="FootnoteReference"/>
        </w:rPr>
        <w:footnoteReference w:id="4"/>
      </w:r>
      <w:r>
        <w:t xml:space="preserve"> </w:t>
      </w:r>
      <w:bookmarkEnd w:id="5"/>
      <w:bookmarkEnd w:id="6"/>
      <w:r w:rsidR="006C48AC">
        <w:t xml:space="preserve">SSL is an obsolete </w:t>
      </w:r>
      <w:r w:rsidR="00C461EF">
        <w:t xml:space="preserve">term for the </w:t>
      </w:r>
      <w:r w:rsidR="006C48AC">
        <w:t>Transport Layer Security</w:t>
      </w:r>
      <w:r w:rsidR="00C461EF">
        <w:t xml:space="preserve"> encryption protocol used by the </w:t>
      </w:r>
      <w:r w:rsidR="00E03686">
        <w:t xml:space="preserve">HTTPS internet protocol </w:t>
      </w:r>
      <w:r w:rsidR="00C461EF">
        <w:t xml:space="preserve">to protect communications between </w:t>
      </w:r>
      <w:r w:rsidR="00E03686">
        <w:t xml:space="preserve">web browsers </w:t>
      </w:r>
      <w:r w:rsidR="00C461EF">
        <w:t xml:space="preserve">and </w:t>
      </w:r>
      <w:r w:rsidR="00E03686">
        <w:t xml:space="preserve">web servers. By design, </w:t>
      </w:r>
      <w:r w:rsidR="002F7144">
        <w:t>TLS</w:t>
      </w:r>
      <w:r w:rsidR="002F7144">
        <w:t xml:space="preserve"> </w:t>
      </w:r>
      <w:r w:rsidR="00E03686">
        <w:t>provides for confidentiality and integrity of the connection: it assures that a third party cannot eavesdrop on the contents of the connection, and</w:t>
      </w:r>
      <w:r w:rsidR="00FD5791">
        <w:t xml:space="preserve"> the data sent by the browser is received by the server without modification.</w:t>
      </w:r>
    </w:p>
    <w:p w14:paraId="4728B609" w14:textId="61E19299" w:rsidR="00FD5791" w:rsidRDefault="002F7144">
      <w:r>
        <w:t>TLS</w:t>
      </w:r>
      <w:r>
        <w:t xml:space="preserve"> </w:t>
      </w:r>
      <w:r w:rsidR="00FD5791">
        <w:t xml:space="preserve">is based on public key cryptography. Each web server is </w:t>
      </w:r>
      <w:r w:rsidR="00D81616">
        <w:t>configured</w:t>
      </w:r>
      <w:r w:rsidR="00D81616">
        <w:t xml:space="preserve"> </w:t>
      </w:r>
      <w:r w:rsidR="00FD5791">
        <w:t xml:space="preserve">with a </w:t>
      </w:r>
      <w:r w:rsidR="00FD5791">
        <w:rPr>
          <w:i/>
        </w:rPr>
        <w:t xml:space="preserve">private key </w:t>
      </w:r>
      <w:r w:rsidR="00FD5791">
        <w:t xml:space="preserve">and a </w:t>
      </w:r>
      <w:r w:rsidR="00FD5791">
        <w:rPr>
          <w:i/>
        </w:rPr>
        <w:t xml:space="preserve">public </w:t>
      </w:r>
      <w:r w:rsidR="00FD5791" w:rsidRPr="00FD5791">
        <w:rPr>
          <w:i/>
        </w:rPr>
        <w:t>key</w:t>
      </w:r>
      <w:r w:rsidR="009C28A3">
        <w:t xml:space="preserve">, which is contained in a </w:t>
      </w:r>
      <w:r w:rsidR="00D81616">
        <w:t xml:space="preserve">public key </w:t>
      </w:r>
      <w:r w:rsidR="009C28A3">
        <w:t>certificate</w:t>
      </w:r>
      <w:r w:rsidR="00FD5791">
        <w:t>. Information encrypted with the private key can only be decrypted with the public key. When the web browser connects to the web server, the server sends the browser its public key</w:t>
      </w:r>
      <w:r w:rsidR="009C28A3">
        <w:t xml:space="preserve"> certificate</w:t>
      </w:r>
      <w:r w:rsidR="00FD5791">
        <w:t xml:space="preserve">. </w:t>
      </w:r>
      <w:r w:rsidR="009C28A3">
        <w:t xml:space="preserve">The browser then creates a randomly generated </w:t>
      </w:r>
      <w:r w:rsidR="005951A4">
        <w:t>session key, encrypts the key with the public key and sends it to the server. The server uses its private key to decrypt the session key so that the TLS-encrypted communications can take place.</w:t>
      </w:r>
      <w:r w:rsidR="00FD5791">
        <w:t xml:space="preserve"> </w:t>
      </w:r>
      <w:r w:rsidR="00FD5791" w:rsidRPr="00FD5791">
        <w:t>In</w:t>
      </w:r>
      <w:r w:rsidR="00FD5791">
        <w:t xml:space="preserve"> its final deployment, </w:t>
      </w:r>
      <w:r w:rsidR="002E0BE7">
        <w:t>there is a possibility</w:t>
      </w:r>
      <w:r w:rsidR="00FD5791">
        <w:t xml:space="preserve"> that </w:t>
      </w:r>
      <w:r w:rsidR="00AE234E">
        <w:t>DHS will require that E</w:t>
      </w:r>
      <w:r w:rsidR="00AE234E" w:rsidRPr="00AE234E">
        <w:rPr>
          <w:vertAlign w:val="superscript"/>
        </w:rPr>
        <w:t>3</w:t>
      </w:r>
      <w:r w:rsidR="00AE234E">
        <w:t xml:space="preserve">A </w:t>
      </w:r>
      <w:r w:rsidR="00FD5791">
        <w:t xml:space="preserve">be provided with </w:t>
      </w:r>
      <w:r w:rsidR="00AE234E">
        <w:t xml:space="preserve">a copy of each </w:t>
      </w:r>
      <w:r w:rsidR="00FD5791">
        <w:t>web servers’ private key so that the TLS connections can be decrypted.</w:t>
      </w:r>
    </w:p>
    <w:p w14:paraId="2B548AE9" w14:textId="1BD5FC82" w:rsidR="000F3F35" w:rsidRDefault="009E36BE">
      <w:r>
        <w:lastRenderedPageBreak/>
        <w:t xml:space="preserve">There are compelling reasons for DHS to decrypt the </w:t>
      </w:r>
      <w:r w:rsidR="00495462">
        <w:t xml:space="preserve">data sent by </w:t>
      </w:r>
      <w:r w:rsidR="000E46B8">
        <w:t>TLS</w:t>
      </w:r>
      <w:r w:rsidR="000E46B8">
        <w:t xml:space="preserve"> </w:t>
      </w:r>
      <w:r>
        <w:t xml:space="preserve">from the browser to the server. Many attacks and exploits are based on the idea of sending unexpected values to the server. For example, consider a web form </w:t>
      </w:r>
      <w:r w:rsidR="00495462">
        <w:t>with two fields</w:t>
      </w:r>
      <w:r>
        <w:t>, age and gender:</w:t>
      </w:r>
    </w:p>
    <w:p w14:paraId="419AA094" w14:textId="3460D7A1" w:rsidR="009E36BE" w:rsidRDefault="009E36BE">
      <w:r>
        <w:tab/>
        <w:t>Age: _________</w:t>
      </w:r>
      <w:r>
        <w:br/>
      </w:r>
      <w:r>
        <w:tab/>
        <w:t>Gender: __________</w:t>
      </w:r>
      <w:r>
        <w:br/>
      </w:r>
      <w:r>
        <w:tab/>
        <w:t>[SUBMIT]</w:t>
      </w:r>
    </w:p>
    <w:p w14:paraId="7CD43C0B" w14:textId="7B44B8E7" w:rsidR="009E36BE" w:rsidRDefault="009E36BE">
      <w:r>
        <w:t>In normal operation, this information is encoded as an HTTP req</w:t>
      </w:r>
      <w:r w:rsidR="0006591F">
        <w:t>uest and sent to the web server</w:t>
      </w:r>
      <w:r>
        <w:t>:</w:t>
      </w:r>
    </w:p>
    <w:p w14:paraId="2C246895" w14:textId="77777777" w:rsidR="002C5FC8" w:rsidRDefault="002C5FC8" w:rsidP="00FB20BD">
      <w:pPr>
        <w:pStyle w:val="Code"/>
      </w:pPr>
      <w:bookmarkStart w:id="9" w:name="OLE_LINK23"/>
      <w:bookmarkStart w:id="10" w:name="OLE_LINK24"/>
      <w:r>
        <w:t>Age=52&amp;gender=male</w:t>
      </w:r>
    </w:p>
    <w:bookmarkEnd w:id="9"/>
    <w:bookmarkEnd w:id="10"/>
    <w:p w14:paraId="353D39ED" w14:textId="77777777" w:rsidR="002C5FC8" w:rsidRDefault="002C5FC8" w:rsidP="002C5FC8">
      <w:r>
        <w:t>However, an attacker might attempt an SQL injection attack, for example:</w:t>
      </w:r>
    </w:p>
    <w:p w14:paraId="27271461" w14:textId="1486BD0E" w:rsidR="002C5FC8" w:rsidRDefault="002C5FC8" w:rsidP="00FB20BD">
      <w:pPr>
        <w:pStyle w:val="Code"/>
      </w:pPr>
      <w:r>
        <w:t>Age=52&amp;gender=</w:t>
      </w:r>
      <w:proofErr w:type="spellStart"/>
      <w:r>
        <w:t>male</w:t>
      </w:r>
      <w:proofErr w:type="gramStart"/>
      <w:r>
        <w:t>’;drop</w:t>
      </w:r>
      <w:proofErr w:type="spellEnd"/>
      <w:proofErr w:type="gramEnd"/>
      <w:r>
        <w:t xml:space="preserve"> table RESPONSES;</w:t>
      </w:r>
    </w:p>
    <w:p w14:paraId="1A4FA5F9" w14:textId="2B163317" w:rsidR="00F07537" w:rsidRPr="007E5705" w:rsidRDefault="00F07537" w:rsidP="002C5FC8">
      <w:pPr>
        <w:rPr>
          <w:i/>
        </w:rPr>
      </w:pPr>
      <w:r>
        <w:t xml:space="preserve">In theory, </w:t>
      </w:r>
      <w:bookmarkStart w:id="11" w:name="OLE_LINK2"/>
      <w:bookmarkStart w:id="12" w:name="OLE_LINK3"/>
      <w:r w:rsidR="0006591F">
        <w:t>E</w:t>
      </w:r>
      <w:r w:rsidR="0006591F">
        <w:rPr>
          <w:vertAlign w:val="superscript"/>
        </w:rPr>
        <w:t>3</w:t>
      </w:r>
      <w:r w:rsidR="0006591F">
        <w:t>A</w:t>
      </w:r>
      <w:bookmarkEnd w:id="11"/>
      <w:bookmarkEnd w:id="12"/>
      <w:r w:rsidR="0006591F">
        <w:t xml:space="preserve"> </w:t>
      </w:r>
      <w:r>
        <w:t>could detect this SQL injection attack and break the TLS connection, then blacklist the IP address associated with the web browser so that the system could not attack any</w:t>
      </w:r>
      <w:r w:rsidR="00575684">
        <w:t xml:space="preserve"> other US Government web server protected by E</w:t>
      </w:r>
      <w:r w:rsidR="00575684">
        <w:rPr>
          <w:vertAlign w:val="superscript"/>
        </w:rPr>
        <w:t>3</w:t>
      </w:r>
      <w:r w:rsidR="00575684">
        <w:t>A.</w:t>
      </w:r>
      <w:r w:rsidR="000E46B8">
        <w:t xml:space="preserve"> </w:t>
      </w:r>
      <w:r w:rsidR="000E46B8">
        <w:rPr>
          <w:i/>
        </w:rPr>
        <w:t xml:space="preserve">Even if Census web applications are not vulnerable to SQL injection attacks, would-be attackers will attempt </w:t>
      </w:r>
      <w:r w:rsidR="00A9538B">
        <w:rPr>
          <w:i/>
        </w:rPr>
        <w:t xml:space="preserve">SQL injection attacks to probe the servers. Detecting these attacks will allow DHS to blacklist the attackers; analyzing these attacks will allow DHS to improve the defenses provided by </w:t>
      </w:r>
      <w:r w:rsidR="00A9538B" w:rsidRPr="007E5705">
        <w:rPr>
          <w:i/>
        </w:rPr>
        <w:t>E</w:t>
      </w:r>
      <w:r w:rsidR="00A9538B" w:rsidRPr="007E5705">
        <w:rPr>
          <w:i/>
          <w:vertAlign w:val="superscript"/>
        </w:rPr>
        <w:t>3</w:t>
      </w:r>
      <w:r w:rsidR="00A9538B" w:rsidRPr="007E5705">
        <w:rPr>
          <w:i/>
        </w:rPr>
        <w:t>A</w:t>
      </w:r>
      <w:r w:rsidR="00A9538B" w:rsidRPr="007E5705">
        <w:rPr>
          <w:i/>
        </w:rPr>
        <w:t>.</w:t>
      </w:r>
    </w:p>
    <w:p w14:paraId="02037E92" w14:textId="1D137161" w:rsidR="009E36BE" w:rsidRDefault="00AE7210" w:rsidP="002C5FC8">
      <w:r>
        <w:t>As described, E</w:t>
      </w:r>
      <w:r>
        <w:rPr>
          <w:vertAlign w:val="superscript"/>
        </w:rPr>
        <w:t>3</w:t>
      </w:r>
      <w:r>
        <w:t>A appears t</w:t>
      </w:r>
      <w:r w:rsidR="006A3A2F">
        <w:t xml:space="preserve">o violate the Census Bureau’s confidentiality pledge. For example, </w:t>
      </w:r>
      <w:r w:rsidR="0031435E">
        <w:t>census publication BC-1428RV states:</w:t>
      </w:r>
    </w:p>
    <w:p w14:paraId="38FE43BE" w14:textId="7BA00570" w:rsidR="0031435E" w:rsidRPr="0031435E" w:rsidRDefault="0031435E" w:rsidP="0031435E">
      <w:pPr>
        <w:ind w:left="720"/>
      </w:pPr>
      <w:r>
        <w:t>“</w:t>
      </w:r>
      <w:r w:rsidRPr="0031435E">
        <w:t>Our highest priority at the Census Bureau is using your answers only for determining how the country is doing. By law, we cannot share your answers with anyone—including other federal agencies and state and local law enforcement agencies. In 2010, the Justice Department determined that no provision of the U.S. Patriot Act overrides the provisions of Title 13 that protects the confidentiality of Census Bureau data.</w:t>
      </w:r>
      <w:r>
        <w:t>”</w:t>
      </w:r>
      <w:r w:rsidR="00320D7D">
        <w:rPr>
          <w:rStyle w:val="FootnoteReference"/>
        </w:rPr>
        <w:footnoteReference w:id="5"/>
      </w:r>
    </w:p>
    <w:p w14:paraId="3C98E90C" w14:textId="52657E78" w:rsidR="0031435E" w:rsidRDefault="0031435E" w:rsidP="002C5FC8">
      <w:r>
        <w:t xml:space="preserve">The Department of Homeland Security is both another federal agency and a law enforcement agency. </w:t>
      </w:r>
      <w:r w:rsidR="00D87E8F">
        <w:t>By using a TIC that incorporates E</w:t>
      </w:r>
      <w:r w:rsidR="00D87E8F">
        <w:rPr>
          <w:vertAlign w:val="superscript"/>
        </w:rPr>
        <w:t>3</w:t>
      </w:r>
      <w:r w:rsidR="00D87E8F">
        <w:t>A, Census would appear to be sharing respondent data with DHS. Even more troubling, there is a chance that, while analyzing an E</w:t>
      </w:r>
      <w:r w:rsidR="00D87E8F">
        <w:rPr>
          <w:vertAlign w:val="superscript"/>
        </w:rPr>
        <w:t>3</w:t>
      </w:r>
      <w:r w:rsidR="00D87E8F">
        <w:t>A alert, a DHS employee might directly uncover evidence of illegal activity on the part of the respondent. In such a circumstance, the DHS employee might be legally obligated to respond.</w:t>
      </w:r>
      <w:r w:rsidR="00A14202">
        <w:t xml:space="preserve"> Thus, it is vital that DHS be able to verify that data sent from the web browser to the web server not contain SQL injection attacks (or other exploits) while being shielded from seeing respondent data.</w:t>
      </w:r>
    </w:p>
    <w:p w14:paraId="7D4E7749" w14:textId="56541AFA" w:rsidR="00B92DB3" w:rsidRDefault="00242D5F" w:rsidP="00B92DB3">
      <w:r>
        <w:t>Acknowledging</w:t>
      </w:r>
      <w:r w:rsidR="00EF685F">
        <w:t xml:space="preserve"> this possibility, the Department of Commerce negotiated an Addendum to its Memorandum of Agreement with DHS that </w:t>
      </w:r>
    </w:p>
    <w:p w14:paraId="0B599749" w14:textId="4C73585F" w:rsidR="00B92DB3" w:rsidRDefault="00B92DB3" w:rsidP="007E5705">
      <w:pPr>
        <w:pStyle w:val="ListParagraph"/>
        <w:numPr>
          <w:ilvl w:val="0"/>
          <w:numId w:val="5"/>
        </w:numPr>
      </w:pPr>
      <w:r>
        <w:t xml:space="preserve">requires immediate notification of by CS&amp;C (DHS) anytime it appears that there has been unauthorized access or use of DOC information obtained through EINSTEIN, and defines unauthorized access as </w:t>
      </w:r>
      <w:r w:rsidR="00242D5F">
        <w:t>“</w:t>
      </w:r>
      <w:r>
        <w:t>access or use for reasons other than protecting information and information systems from cybersecurity risks...</w:t>
      </w:r>
      <w:r w:rsidR="00242D5F">
        <w:t>”</w:t>
      </w:r>
    </w:p>
    <w:p w14:paraId="28A0225E" w14:textId="4FCBC3B8" w:rsidR="00B92DB3" w:rsidRDefault="00B92DB3" w:rsidP="007E5705">
      <w:pPr>
        <w:pStyle w:val="ListParagraph"/>
        <w:numPr>
          <w:ilvl w:val="0"/>
          <w:numId w:val="5"/>
        </w:numPr>
      </w:pPr>
      <w:r>
        <w:t xml:space="preserve">requires prompt notification if DHS disseminates DOC information obtained through EINSTEIN that is </w:t>
      </w:r>
      <w:r w:rsidR="00242D5F">
        <w:t>“</w:t>
      </w:r>
      <w:r>
        <w:t>visibly marked as protected by statute, ...</w:t>
      </w:r>
      <w:r w:rsidR="00242D5F">
        <w:t>”</w:t>
      </w:r>
      <w:r>
        <w:t xml:space="preserve"> </w:t>
      </w:r>
    </w:p>
    <w:p w14:paraId="7361A116" w14:textId="0E697203" w:rsidR="00B92DB3" w:rsidRDefault="00B92DB3" w:rsidP="007E5705">
      <w:pPr>
        <w:pStyle w:val="ListParagraph"/>
        <w:numPr>
          <w:ilvl w:val="0"/>
          <w:numId w:val="5"/>
        </w:numPr>
      </w:pPr>
      <w:r>
        <w:lastRenderedPageBreak/>
        <w:t xml:space="preserve">requires quarterly reporting by DHS to DOC of how frequently DHS personnel </w:t>
      </w:r>
      <w:r w:rsidR="00242D5F">
        <w:t>“</w:t>
      </w:r>
      <w:r>
        <w:t>manually access</w:t>
      </w:r>
      <w:r w:rsidR="00242D5F">
        <w:t>”</w:t>
      </w:r>
      <w:r>
        <w:t xml:space="preserve"> DOC's statutorily protected information; and </w:t>
      </w:r>
    </w:p>
    <w:p w14:paraId="7A4DDC9E" w14:textId="794BFE24" w:rsidR="00B92DB3" w:rsidRDefault="00B92DB3" w:rsidP="007E5705">
      <w:pPr>
        <w:pStyle w:val="ListParagraph"/>
        <w:numPr>
          <w:ilvl w:val="0"/>
          <w:numId w:val="5"/>
        </w:numPr>
      </w:pPr>
      <w:r>
        <w:t>exempts Census from the extremely onerous splash screen announcing the presence of DHC screening on government internet portals.</w:t>
      </w:r>
    </w:p>
    <w:p w14:paraId="51ABB7CA" w14:textId="1BD7ECF6" w:rsidR="00B92DB3" w:rsidRDefault="00E76F20" w:rsidP="00B92DB3">
      <w:proofErr w:type="gramStart"/>
      <w:r>
        <w:t>As a result of</w:t>
      </w:r>
      <w:proofErr w:type="gramEnd"/>
      <w:r>
        <w:t xml:space="preserve"> the memorandum, C</w:t>
      </w:r>
      <w:r w:rsidR="00B92DB3">
        <w:t>ensus request</w:t>
      </w:r>
      <w:r>
        <w:t>ed</w:t>
      </w:r>
      <w:r w:rsidR="00B92DB3">
        <w:t xml:space="preserve"> emergency clearance for a change in its general pledge from:</w:t>
      </w:r>
    </w:p>
    <w:p w14:paraId="3496510C" w14:textId="11129C02" w:rsidR="00B92DB3" w:rsidRDefault="00B92DB3" w:rsidP="007E5705">
      <w:pPr>
        <w:ind w:left="720"/>
      </w:pPr>
      <w:r>
        <w:t>The U.S. Census Bureau is required by U.S. law to keep your answers confidential.  This means that the Census Bureau cannot give out information that identifies you &lt;this business/organization/government entity&gt;, including to other government agencies. Federal law protects your privacy and keeps your answers confidential (Title 13, United States Code, Sections 9 and 214).</w:t>
      </w:r>
    </w:p>
    <w:p w14:paraId="05AFFC47" w14:textId="77777777" w:rsidR="00B92DB3" w:rsidRDefault="00B92DB3" w:rsidP="00B92DB3">
      <w:r>
        <w:t>to</w:t>
      </w:r>
    </w:p>
    <w:p w14:paraId="57C77C21" w14:textId="36FE362E" w:rsidR="00B92DB3" w:rsidRDefault="00B92DB3" w:rsidP="007E5705">
      <w:pPr>
        <w:ind w:left="720"/>
      </w:pPr>
      <w:r>
        <w:t xml:space="preserve">The U.S. Census Bureau is required by law to protect your information.  The Census Bureau is not permitted to publicly release your responses in a way that could identify you &lt;this business/organization/government entity&gt;. We are conducting this survey under the authority of Title 13, United States Code, Sections 141 and 193. Federal law protects your privacy and keeps your answers confidential (Title 13, United States Code, Sections 9 and 214). Per the Federal Cybersecurity Enhancement Act of 2015, your data are protected from cybersecurity risks through screening of the systems that transmit your data. </w:t>
      </w:r>
    </w:p>
    <w:p w14:paraId="5B333D32" w14:textId="79A12CCB" w:rsidR="00B92DB3" w:rsidRDefault="00E76F20" w:rsidP="00B92DB3">
      <w:r w:rsidRPr="007E5705">
        <w:t>On December 14, 2016</w:t>
      </w:r>
      <w:r>
        <w:t xml:space="preserve">, a new </w:t>
      </w:r>
      <w:r w:rsidR="00B92DB3">
        <w:t xml:space="preserve">generic </w:t>
      </w:r>
      <w:r>
        <w:t xml:space="preserve">statistical confidentiality pledge for the Census Bureau’s data collections was published in the Federal Register: </w:t>
      </w:r>
    </w:p>
    <w:p w14:paraId="2C90C7D0" w14:textId="726D9C89" w:rsidR="00E76F20" w:rsidRPr="00E76F20" w:rsidRDefault="00B92DB3" w:rsidP="007E5705">
      <w:pPr>
        <w:ind w:left="720"/>
      </w:pPr>
      <w:bookmarkStart w:id="13" w:name="OLE_LINK4"/>
      <w:bookmarkStart w:id="14" w:name="OLE_LINK5"/>
      <w:r>
        <w:t>The U.S. Census Bureau is required by law to protect your information</w:t>
      </w:r>
      <w:bookmarkEnd w:id="13"/>
      <w:bookmarkEnd w:id="14"/>
      <w:r>
        <w:t>. The Census Bureau is not permitted to publicly release your responses in a way that could identify you. Per the Federal Cybersecurity Enhancement Act of 2015, your data are protected from cybersecurity risks through screening of the systems that transmit your data.</w:t>
      </w:r>
      <w:r>
        <w:rPr>
          <w:rStyle w:val="FootnoteReference"/>
        </w:rPr>
        <w:footnoteReference w:id="6"/>
      </w:r>
      <w:r>
        <w:t xml:space="preserve"> </w:t>
      </w:r>
    </w:p>
    <w:p w14:paraId="601038DD" w14:textId="35AC77A4" w:rsidR="0031435E" w:rsidRDefault="0031435E" w:rsidP="0031435E">
      <w:pPr>
        <w:pStyle w:val="Heading1"/>
      </w:pPr>
      <w:r>
        <w:t xml:space="preserve">Possible Solutions </w:t>
      </w:r>
    </w:p>
    <w:p w14:paraId="504CF673" w14:textId="4214B42B" w:rsidR="000D3A99" w:rsidRDefault="00760337" w:rsidP="000D3A99">
      <w:r>
        <w:t xml:space="preserve">This paper proposes </w:t>
      </w:r>
      <w:r w:rsidR="00E76F20">
        <w:t>the framework for a new</w:t>
      </w:r>
      <w:r w:rsidR="00E76F20">
        <w:t xml:space="preserve"> </w:t>
      </w:r>
      <w:r>
        <w:t>solution</w:t>
      </w:r>
      <w:r w:rsidR="00E76F20">
        <w:t xml:space="preserve"> to the problem of DHS monitoring </w:t>
      </w:r>
      <w:r>
        <w:t xml:space="preserve">based on </w:t>
      </w:r>
      <w:r w:rsidRPr="00760337">
        <w:rPr>
          <w:i/>
        </w:rPr>
        <w:t>web application level cryptography</w:t>
      </w:r>
      <w:r w:rsidR="001B20CD">
        <w:rPr>
          <w:i/>
        </w:rPr>
        <w:t xml:space="preserve"> </w:t>
      </w:r>
      <w:r w:rsidR="001B20CD">
        <w:t xml:space="preserve">to shield respondent data. </w:t>
      </w:r>
    </w:p>
    <w:p w14:paraId="0EA35E0E" w14:textId="0C440140" w:rsidR="00760337" w:rsidRDefault="00132446" w:rsidP="00132446">
      <w:pPr>
        <w:pStyle w:val="Heading2"/>
      </w:pPr>
      <w:r>
        <w:t>Web Application Level Cryptography</w:t>
      </w:r>
    </w:p>
    <w:p w14:paraId="57D006EF" w14:textId="3D3B9773" w:rsidR="00AE3C3A" w:rsidRDefault="001742C0" w:rsidP="00132446">
      <w:r>
        <w:t xml:space="preserve">Modern web applications consist of JavaScript code that is downloaded into the web browser that communicates with code that is running on the web server. </w:t>
      </w:r>
      <w:r w:rsidR="00FB20BD">
        <w:t>Typically,</w:t>
      </w:r>
      <w:r w:rsidR="007F64EE">
        <w:t xml:space="preserve"> JavaScript is used for animation, </w:t>
      </w:r>
      <w:r w:rsidR="005275F3">
        <w:t xml:space="preserve">form validation, responsive layout, and the like. The JavaScript can also be used to implement cryptography. The </w:t>
      </w:r>
      <w:bookmarkStart w:id="15" w:name="OLE_LINK21"/>
      <w:bookmarkStart w:id="16" w:name="OLE_LINK22"/>
      <w:r w:rsidR="005275F3">
        <w:t>W3C Web Cryptography API</w:t>
      </w:r>
      <w:r w:rsidR="00AE3C3A">
        <w:rPr>
          <w:rStyle w:val="FootnoteReference"/>
        </w:rPr>
        <w:footnoteReference w:id="7"/>
      </w:r>
      <w:r w:rsidR="005275F3">
        <w:t xml:space="preserve"> </w:t>
      </w:r>
      <w:bookmarkEnd w:id="15"/>
      <w:bookmarkEnd w:id="16"/>
      <w:r w:rsidR="00AE3C3A">
        <w:t xml:space="preserve">is a proposed recommendation for integrating some cryptographic libraries into web browsers, but there exist many JavaScript </w:t>
      </w:r>
      <w:r w:rsidR="008802A9">
        <w:lastRenderedPageBreak/>
        <w:t>libraries</w:t>
      </w:r>
      <w:r w:rsidR="00AE3C3A">
        <w:t xml:space="preserve"> for performing a wide range of cryptographic primitives within the browser </w:t>
      </w:r>
      <w:r w:rsidR="0032250D">
        <w:t xml:space="preserve">today, even without the adoption of the Cryptography API. </w:t>
      </w:r>
    </w:p>
    <w:p w14:paraId="53BDFF9B" w14:textId="580CBF29" w:rsidR="00806C1A" w:rsidRDefault="00E76F20" w:rsidP="00132446">
      <w:r>
        <w:t xml:space="preserve">The framework of the </w:t>
      </w:r>
      <w:r w:rsidR="00AE3C3A">
        <w:t xml:space="preserve">solution is to have the web </w:t>
      </w:r>
      <w:r>
        <w:t xml:space="preserve">browser and </w:t>
      </w:r>
      <w:r w:rsidR="00AE3C3A">
        <w:t xml:space="preserve">server </w:t>
      </w:r>
      <w:r>
        <w:t xml:space="preserve">derive an application-level per-session encryption key that will be used to encrypt the specific respondent answers sent from the web browser to the server. For example, JavaScript running on the browser and at the server might engage in a Diffie-Hellman key exchange protocol </w:t>
      </w:r>
      <w:r w:rsidR="00C07D59">
        <w:t xml:space="preserve">to derive a shared encryption key. </w:t>
      </w:r>
      <w:r w:rsidR="00806C1A">
        <w:t xml:space="preserve">Alternatively, the server and the browser and employ the </w:t>
      </w:r>
      <w:proofErr w:type="spellStart"/>
      <w:r w:rsidR="00806C1A">
        <w:t>Paillier</w:t>
      </w:r>
      <w:proofErr w:type="spellEnd"/>
      <w:r w:rsidR="00806C1A">
        <w:t xml:space="preserve"> cryptosystem to transmit a session key from the browser to the server in a probabilistic manner that would not be susceptible to third-party monitoring. Once a per-session encryption key is derived between the client and the server, this key would be used to provide field-level encryption of respondent values.</w:t>
      </w:r>
    </w:p>
    <w:p w14:paraId="2D0BBE47" w14:textId="4E48F420" w:rsidR="00FB20BD" w:rsidRDefault="00F01883" w:rsidP="00132446">
      <w:r>
        <w:t xml:space="preserve">To use application-level cryptography, it is first necessary to convert the responses into a numeric form. For example, </w:t>
      </w:r>
      <w:r w:rsidR="00FB20BD">
        <w:t>original response becomes:</w:t>
      </w:r>
    </w:p>
    <w:p w14:paraId="3B57C869" w14:textId="4B433940" w:rsidR="00FB20BD" w:rsidRDefault="00FB20BD" w:rsidP="00FB20BD">
      <w:pPr>
        <w:pStyle w:val="Code"/>
      </w:pPr>
      <w:r>
        <w:t>Age=52&amp;gender=1</w:t>
      </w:r>
    </w:p>
    <w:p w14:paraId="00E8132A" w14:textId="010FC29E" w:rsidR="00AE3C3A" w:rsidRDefault="00FB20BD" w:rsidP="00132446">
      <w:r>
        <w:t xml:space="preserve">With application-level </w:t>
      </w:r>
      <w:r w:rsidR="00C96128">
        <w:t>cryptography</w:t>
      </w:r>
      <w:r>
        <w:t>, the encrypted response might become:</w:t>
      </w:r>
    </w:p>
    <w:p w14:paraId="3008B8ED" w14:textId="595262B5" w:rsidR="00FB20BD" w:rsidRDefault="00FB20BD" w:rsidP="00FB20BD">
      <w:pPr>
        <w:pStyle w:val="Code"/>
      </w:pPr>
      <w:r>
        <w:t>Age=343126314&amp;gender=236134</w:t>
      </w:r>
    </w:p>
    <w:p w14:paraId="6C719FD7" w14:textId="54ECF843" w:rsidR="00FB20BD" w:rsidRDefault="00FB20BD" w:rsidP="00132446">
      <w:r>
        <w:t xml:space="preserve">This message can be viewed by </w:t>
      </w:r>
      <w:r w:rsidR="00662888">
        <w:t>E</w:t>
      </w:r>
      <w:r w:rsidR="00662888">
        <w:rPr>
          <w:vertAlign w:val="superscript"/>
        </w:rPr>
        <w:t>3</w:t>
      </w:r>
      <w:r w:rsidR="00662888">
        <w:t xml:space="preserve">A </w:t>
      </w:r>
      <w:r>
        <w:t xml:space="preserve">without compromising the respondent’s information. When it is received by the server, which has knowledge of the </w:t>
      </w:r>
      <w:r w:rsidR="00E243D1">
        <w:t>shared encryption</w:t>
      </w:r>
      <w:r w:rsidR="00806C1A">
        <w:t xml:space="preserve"> </w:t>
      </w:r>
      <w:r>
        <w:t>key, the values are decrypted and handled as before.</w:t>
      </w:r>
    </w:p>
    <w:p w14:paraId="550DC9E2" w14:textId="704865A3" w:rsidR="00FB20BD" w:rsidRDefault="00FB20BD" w:rsidP="00132446">
      <w:r>
        <w:t>This simplistic approach can be improved:</w:t>
      </w:r>
    </w:p>
    <w:p w14:paraId="7B0DC90A" w14:textId="16624E65" w:rsidR="00FB20BD" w:rsidRDefault="00FB20BD" w:rsidP="00FB20BD">
      <w:pPr>
        <w:pStyle w:val="ListParagraph"/>
        <w:numPr>
          <w:ilvl w:val="0"/>
          <w:numId w:val="3"/>
        </w:numPr>
      </w:pPr>
      <w:r>
        <w:t xml:space="preserve">Instead of preserving the original fields, the JavaScript on the </w:t>
      </w:r>
      <w:r w:rsidR="00282447">
        <w:t>web browser</w:t>
      </w:r>
      <w:r>
        <w:t xml:space="preserve"> </w:t>
      </w:r>
      <w:r w:rsidR="00282447">
        <w:t>could</w:t>
      </w:r>
      <w:r>
        <w:t xml:space="preserve"> prepare and encrypt a block of numbers that includes checksums and other error detecting codes. </w:t>
      </w:r>
      <w:r w:rsidR="00282447">
        <w:t>For example, the response might become:</w:t>
      </w:r>
    </w:p>
    <w:p w14:paraId="357C99A1" w14:textId="2EC44ED3" w:rsidR="00FB20BD" w:rsidRDefault="00FB20BD" w:rsidP="00FB20BD">
      <w:pPr>
        <w:pStyle w:val="Code"/>
      </w:pPr>
      <w:r>
        <w:t>Response=</w:t>
      </w:r>
      <w:r w:rsidRPr="00FB20BD">
        <w:t>6a6a</w:t>
      </w:r>
      <w:r>
        <w:t>550621f3d360dbabb15a4644e72ajjU</w:t>
      </w:r>
    </w:p>
    <w:p w14:paraId="5466474A" w14:textId="5A4A1416" w:rsidR="00282447" w:rsidRDefault="00282447" w:rsidP="00282447">
      <w:pPr>
        <w:pStyle w:val="ListParagraph"/>
      </w:pPr>
      <w:r>
        <w:t xml:space="preserve">The server would then decrypt the response and verify the checksums, ensuring </w:t>
      </w:r>
      <w:r w:rsidRPr="00282447">
        <w:t>that the client-side cryptography is performing properly.</w:t>
      </w:r>
    </w:p>
    <w:p w14:paraId="01AB90AB" w14:textId="77777777" w:rsidR="00D81616" w:rsidRDefault="00D81616" w:rsidP="00FB20BD">
      <w:pPr>
        <w:pStyle w:val="Heading2"/>
      </w:pPr>
    </w:p>
    <w:p w14:paraId="4A623AF5" w14:textId="7469EDBD" w:rsidR="00FB20BD" w:rsidRDefault="00FB20BD" w:rsidP="00FB20BD">
      <w:pPr>
        <w:pStyle w:val="Heading2"/>
      </w:pPr>
      <w:r>
        <w:t>Deployment requirements</w:t>
      </w:r>
    </w:p>
    <w:p w14:paraId="1ED25696" w14:textId="5775CD51" w:rsidR="00FB20BD" w:rsidRDefault="00FB20BD" w:rsidP="00FB20BD">
      <w:r>
        <w:t>To deploy a web application-level cryptography solution to an existing survey, the following would be needed:</w:t>
      </w:r>
    </w:p>
    <w:p w14:paraId="1CB51612" w14:textId="736A6522" w:rsidR="00917327" w:rsidRPr="00E771F2" w:rsidRDefault="00FB20BD" w:rsidP="00FB20BD">
      <w:pPr>
        <w:pStyle w:val="BodywithBullets"/>
        <w:rPr>
          <w:rFonts w:ascii="Georgia" w:hAnsi="Georgia"/>
        </w:rPr>
      </w:pPr>
      <w:r w:rsidRPr="00E771F2">
        <w:rPr>
          <w:rFonts w:ascii="Georgia" w:hAnsi="Georgia"/>
        </w:rPr>
        <w:t xml:space="preserve">A JavaScript library </w:t>
      </w:r>
      <w:r w:rsidR="00917327" w:rsidRPr="00E771F2">
        <w:rPr>
          <w:rFonts w:ascii="Georgia" w:hAnsi="Georgia"/>
        </w:rPr>
        <w:t>provid</w:t>
      </w:r>
      <w:r w:rsidR="005D3C27">
        <w:rPr>
          <w:rFonts w:ascii="Georgia" w:hAnsi="Georgia"/>
        </w:rPr>
        <w:t>ing</w:t>
      </w:r>
      <w:r w:rsidR="00917327" w:rsidRPr="00E771F2">
        <w:rPr>
          <w:rFonts w:ascii="Georgia" w:hAnsi="Georgia"/>
        </w:rPr>
        <w:t xml:space="preserve"> the necessary cryptographic primitives. Currently there is no FIPS-140 validated JavaScript library, so a waiver might be required. On the other hand, existing browsers do not have FIPS-140 validated cryptography either, so this may not be a concern. </w:t>
      </w:r>
    </w:p>
    <w:p w14:paraId="065073C4" w14:textId="4BE23297" w:rsidR="00FB20BD" w:rsidRPr="00E771F2" w:rsidRDefault="00917327" w:rsidP="00FB20BD">
      <w:pPr>
        <w:pStyle w:val="BodywithBullets"/>
        <w:rPr>
          <w:rFonts w:ascii="Georgia" w:hAnsi="Georgia"/>
        </w:rPr>
      </w:pPr>
      <w:r w:rsidRPr="00E771F2">
        <w:rPr>
          <w:rFonts w:ascii="Georgia" w:hAnsi="Georgia"/>
        </w:rPr>
        <w:t>Modifications to the browser-side JavaScript that displays the survey forms so that the contents would be encrypted prior to being transmitted.</w:t>
      </w:r>
    </w:p>
    <w:p w14:paraId="53219F1E" w14:textId="3480363C" w:rsidR="00917327" w:rsidRPr="00E771F2" w:rsidRDefault="00917327" w:rsidP="00FB20BD">
      <w:pPr>
        <w:pStyle w:val="BodywithBullets"/>
        <w:rPr>
          <w:rFonts w:ascii="Georgia" w:hAnsi="Georgia"/>
        </w:rPr>
      </w:pPr>
      <w:r w:rsidRPr="00E771F2">
        <w:rPr>
          <w:rFonts w:ascii="Georgia" w:hAnsi="Georgia"/>
        </w:rPr>
        <w:t xml:space="preserve">Modifications to the survey web server so that the application-level public key </w:t>
      </w:r>
      <w:r w:rsidR="005D3C27">
        <w:rPr>
          <w:rFonts w:ascii="Georgia" w:hAnsi="Georgia"/>
        </w:rPr>
        <w:t>would be</w:t>
      </w:r>
      <w:r w:rsidRPr="00E771F2">
        <w:rPr>
          <w:rFonts w:ascii="Georgia" w:hAnsi="Georgia"/>
        </w:rPr>
        <w:t xml:space="preserve"> provided to the web browser and the survey results </w:t>
      </w:r>
      <w:r w:rsidR="00F37070">
        <w:rPr>
          <w:rFonts w:ascii="Georgia" w:hAnsi="Georgia"/>
        </w:rPr>
        <w:t>would be</w:t>
      </w:r>
      <w:r w:rsidRPr="00E771F2">
        <w:rPr>
          <w:rFonts w:ascii="Georgia" w:hAnsi="Georgia"/>
        </w:rPr>
        <w:t xml:space="preserve"> decrypted.</w:t>
      </w:r>
    </w:p>
    <w:p w14:paraId="3FBBABE3" w14:textId="07AEB752" w:rsidR="00917327" w:rsidRPr="00E771F2" w:rsidRDefault="001402E4" w:rsidP="00FB20BD">
      <w:pPr>
        <w:pStyle w:val="BodywithBullets"/>
        <w:rPr>
          <w:rFonts w:ascii="Georgia" w:hAnsi="Georgia"/>
        </w:rPr>
      </w:pPr>
      <w:r w:rsidRPr="00E771F2">
        <w:rPr>
          <w:rFonts w:ascii="Georgia" w:hAnsi="Georgia"/>
        </w:rPr>
        <w:lastRenderedPageBreak/>
        <w:t>Although probably not required, it would be useful to have DHS</w:t>
      </w:r>
      <w:r w:rsidR="007F0AC4" w:rsidRPr="00E771F2">
        <w:rPr>
          <w:rFonts w:ascii="Georgia" w:hAnsi="Georgia"/>
        </w:rPr>
        <w:t xml:space="preserve"> approve the use of application-level cryptography that they cannot decrypt, just so that DHS does not later argue that </w:t>
      </w:r>
      <w:r w:rsidR="00840922">
        <w:t>E</w:t>
      </w:r>
      <w:r w:rsidR="00840922">
        <w:rPr>
          <w:vertAlign w:val="superscript"/>
        </w:rPr>
        <w:t>3</w:t>
      </w:r>
      <w:r w:rsidR="00840922">
        <w:t>A</w:t>
      </w:r>
      <w:r w:rsidR="00840922" w:rsidRPr="00E771F2">
        <w:rPr>
          <w:rFonts w:ascii="Georgia" w:hAnsi="Georgia"/>
        </w:rPr>
        <w:t xml:space="preserve"> </w:t>
      </w:r>
      <w:r w:rsidR="007F0AC4" w:rsidRPr="00E771F2">
        <w:rPr>
          <w:rFonts w:ascii="Georgia" w:hAnsi="Georgia"/>
        </w:rPr>
        <w:t>need</w:t>
      </w:r>
      <w:r w:rsidR="00840922">
        <w:rPr>
          <w:rFonts w:ascii="Georgia" w:hAnsi="Georgia"/>
        </w:rPr>
        <w:t>s</w:t>
      </w:r>
      <w:r w:rsidR="007F0AC4" w:rsidRPr="00E771F2">
        <w:rPr>
          <w:rFonts w:ascii="Georgia" w:hAnsi="Georgia"/>
        </w:rPr>
        <w:t xml:space="preserve"> to be able to decrypt survey responses for some reason.</w:t>
      </w:r>
    </w:p>
    <w:p w14:paraId="1C597D39" w14:textId="77777777" w:rsidR="007F0AC4" w:rsidRDefault="007F0AC4" w:rsidP="007F0AC4">
      <w:pPr>
        <w:pStyle w:val="BodywithBullets"/>
        <w:numPr>
          <w:ilvl w:val="0"/>
          <w:numId w:val="0"/>
        </w:numPr>
        <w:ind w:left="720" w:hanging="360"/>
      </w:pPr>
    </w:p>
    <w:p w14:paraId="331D9E9F" w14:textId="5F691EBE" w:rsidR="007F0AC4" w:rsidRDefault="007F0AC4" w:rsidP="007F0AC4">
      <w:pPr>
        <w:pStyle w:val="Heading2"/>
      </w:pPr>
      <w:r>
        <w:t xml:space="preserve">Providing Respondent </w:t>
      </w:r>
      <w:r w:rsidR="00A26929">
        <w:t>Anonymity</w:t>
      </w:r>
      <w:r w:rsidR="009A6BCB">
        <w:t xml:space="preserve"> with Proxy Servers</w:t>
      </w:r>
    </w:p>
    <w:p w14:paraId="534918A3" w14:textId="55B1CB0E" w:rsidR="004D341F" w:rsidRDefault="00A26929" w:rsidP="007F0AC4">
      <w:r>
        <w:t xml:space="preserve">One </w:t>
      </w:r>
      <w:r w:rsidR="004D341F">
        <w:t>aspect</w:t>
      </w:r>
      <w:r>
        <w:t xml:space="preserve"> of respondent anonymity is protection against an outsider knowing </w:t>
      </w:r>
      <w:r w:rsidR="004D341F">
        <w:t>if</w:t>
      </w:r>
      <w:r>
        <w:t xml:space="preserve"> a person has responded to a survey.</w:t>
      </w:r>
      <w:r w:rsidR="004D341F">
        <w:t xml:space="preserve"> Because </w:t>
      </w:r>
      <w:r w:rsidR="004E548F">
        <w:t>E</w:t>
      </w:r>
      <w:r w:rsidR="004E548F">
        <w:rPr>
          <w:vertAlign w:val="superscript"/>
        </w:rPr>
        <w:t>3</w:t>
      </w:r>
      <w:r w:rsidR="004E548F">
        <w:t>A</w:t>
      </w:r>
      <w:r w:rsidR="004E548F" w:rsidRPr="00E771F2">
        <w:t xml:space="preserve"> </w:t>
      </w:r>
      <w:r w:rsidR="004D341F">
        <w:t>records IP addresses of incoming HTTPS connections and because many IP addresses can be linked to individuals, a DHS analyst could determine for many respondents if they had participated in a survey. This may violate the Census confidentiality pledge.</w:t>
      </w:r>
    </w:p>
    <w:p w14:paraId="11EABF2D" w14:textId="77777777" w:rsidR="00D81616" w:rsidRDefault="00887397" w:rsidP="007F0AC4">
      <w:r>
        <w:t>The only way to hide source IP addresses is by using a proxy</w:t>
      </w:r>
      <w:r w:rsidR="00D81616">
        <w:t>. There are two approaches that Census might employ:</w:t>
      </w:r>
    </w:p>
    <w:p w14:paraId="29E19E30" w14:textId="0245A5F8" w:rsidR="00D81616" w:rsidRDefault="00D81616" w:rsidP="007E5705">
      <w:pPr>
        <w:pStyle w:val="ListParagraph"/>
        <w:numPr>
          <w:ilvl w:val="0"/>
          <w:numId w:val="8"/>
        </w:numPr>
      </w:pPr>
      <w:r>
        <w:t xml:space="preserve">Census could engage a </w:t>
      </w:r>
      <w:r w:rsidR="00545B36">
        <w:t>single</w:t>
      </w:r>
      <w:r w:rsidR="00887397">
        <w:t>-hop proxy such as Anonymizer</w:t>
      </w:r>
      <w:r>
        <w:t>.</w:t>
      </w:r>
      <w:r w:rsidR="00887397">
        <w:rPr>
          <w:rStyle w:val="FootnoteReference"/>
        </w:rPr>
        <w:footnoteReference w:id="8"/>
      </w:r>
      <w:r w:rsidR="00887397">
        <w:t xml:space="preserve"> </w:t>
      </w:r>
    </w:p>
    <w:p w14:paraId="1E7FBB77" w14:textId="44FCD131" w:rsidR="00D81616" w:rsidRDefault="00D81616" w:rsidP="007E5705">
      <w:pPr>
        <w:pStyle w:val="ListParagraph"/>
        <w:numPr>
          <w:ilvl w:val="0"/>
          <w:numId w:val="8"/>
        </w:numPr>
      </w:pPr>
      <w:r>
        <w:t>Census could make its services available as a “hidden service” using the Tor anonymity service</w:t>
      </w:r>
      <w:r w:rsidR="00887397">
        <w:t>.</w:t>
      </w:r>
      <w:r w:rsidR="00887397">
        <w:rPr>
          <w:rStyle w:val="FootnoteReference"/>
        </w:rPr>
        <w:footnoteReference w:id="9"/>
      </w:r>
      <w:r w:rsidR="00887397">
        <w:t xml:space="preserve"> </w:t>
      </w:r>
      <w:r>
        <w:t>Respondents could access the Census Tor server using either the Tor client software, which they would download to their computers, or using a tor2web bridge. There are several such tor2web bridges currently in operation, and Census could engage others on a contractual basis.</w:t>
      </w:r>
    </w:p>
    <w:p w14:paraId="0AEA3162" w14:textId="77777777" w:rsidR="00DA6559" w:rsidRDefault="00DA6559" w:rsidP="00D81616"/>
    <w:p w14:paraId="4F7B3A5B" w14:textId="08B20BC6" w:rsidR="00C03CEF" w:rsidRDefault="00C03CEF" w:rsidP="00C03CEF">
      <w:pPr>
        <w:pStyle w:val="Heading2"/>
      </w:pPr>
      <w:r>
        <w:t>Conclusion</w:t>
      </w:r>
    </w:p>
    <w:p w14:paraId="457A87A1" w14:textId="42E58236" w:rsidR="00C03CEF" w:rsidRDefault="00C03CEF" w:rsidP="00C03CEF">
      <w:r>
        <w:t xml:space="preserve">There exist models that could be used to allow DHS to monitor the Census web servers, using SSL/TLS decryption, while still providing for respondent confidentiality and </w:t>
      </w:r>
      <w:r w:rsidR="001500A9">
        <w:t>anonymity. Although there is currently no off-the-shelf software for accomplishing this goal, Census could create such software with minimal engineering effort.</w:t>
      </w:r>
    </w:p>
    <w:p w14:paraId="46FF156B" w14:textId="77777777" w:rsidR="001500A9" w:rsidRDefault="001500A9" w:rsidP="00664863">
      <w:pPr>
        <w:pStyle w:val="Heading4"/>
      </w:pPr>
      <w:bookmarkStart w:id="17" w:name="_GoBack"/>
      <w:bookmarkEnd w:id="17"/>
    </w:p>
    <w:p w14:paraId="317A6E11" w14:textId="77777777" w:rsidR="00C03CEF" w:rsidRPr="00C03CEF" w:rsidRDefault="00C03CEF" w:rsidP="00C03CEF"/>
    <w:sectPr w:rsidR="00C03CEF" w:rsidRPr="00C03CEF" w:rsidSect="00EB659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2D375" w14:textId="77777777" w:rsidR="00E04656" w:rsidRDefault="00E04656" w:rsidP="00320D7D">
      <w:pPr>
        <w:spacing w:after="0"/>
      </w:pPr>
      <w:r>
        <w:separator/>
      </w:r>
    </w:p>
  </w:endnote>
  <w:endnote w:type="continuationSeparator" w:id="0">
    <w:p w14:paraId="42C0023E" w14:textId="77777777" w:rsidR="00E04656" w:rsidRDefault="00E04656" w:rsidP="00320D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90336" w14:textId="77777777" w:rsidR="00EF685F" w:rsidRDefault="00EF685F" w:rsidP="006B11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49AAC4" w14:textId="77777777" w:rsidR="00EF685F" w:rsidRDefault="00EF685F" w:rsidP="006B11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9CDF" w14:textId="3265BF0E" w:rsidR="00EF685F" w:rsidRDefault="00EF685F" w:rsidP="00EF68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863">
      <w:rPr>
        <w:rStyle w:val="PageNumber"/>
        <w:noProof/>
      </w:rPr>
      <w:t>5</w:t>
    </w:r>
    <w:r>
      <w:rPr>
        <w:rStyle w:val="PageNumber"/>
      </w:rPr>
      <w:fldChar w:fldCharType="end"/>
    </w:r>
  </w:p>
  <w:p w14:paraId="2B88DD98" w14:textId="6DB7D2E3" w:rsidR="00EF685F" w:rsidRPr="006B11EC" w:rsidRDefault="00500E42" w:rsidP="006B11EC">
    <w:pPr>
      <w:pStyle w:val="Header"/>
      <w:ind w:right="360"/>
    </w:pPr>
    <w:r>
      <w:t>Revision 0.2</w:t>
    </w:r>
    <w:r>
      <w:br/>
    </w:r>
    <w:r w:rsidR="00EF685F">
      <w:t>Dec. 1</w:t>
    </w:r>
    <w:r w:rsidR="003B62D8">
      <w:t>9</w:t>
    </w:r>
    <w:r w:rsidR="00EF685F">
      <w:t>,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DB65D" w14:textId="77777777" w:rsidR="00E04656" w:rsidRDefault="00E04656" w:rsidP="00320D7D">
      <w:pPr>
        <w:spacing w:after="0"/>
      </w:pPr>
      <w:r>
        <w:separator/>
      </w:r>
    </w:p>
  </w:footnote>
  <w:footnote w:type="continuationSeparator" w:id="0">
    <w:p w14:paraId="1F4228B8" w14:textId="77777777" w:rsidR="00E04656" w:rsidRDefault="00E04656" w:rsidP="00320D7D">
      <w:pPr>
        <w:spacing w:after="0"/>
      </w:pPr>
      <w:r>
        <w:continuationSeparator/>
      </w:r>
    </w:p>
  </w:footnote>
  <w:footnote w:id="1">
    <w:p w14:paraId="35DD5BCD" w14:textId="4F783589" w:rsidR="00EF685F" w:rsidRDefault="00EF685F" w:rsidP="00D81616">
      <w:pPr>
        <w:pStyle w:val="FootnoteText"/>
      </w:pPr>
      <w:r>
        <w:rPr>
          <w:rStyle w:val="FootnoteReference"/>
        </w:rPr>
        <w:footnoteRef/>
      </w:r>
      <w:r>
        <w:t xml:space="preserve"> </w:t>
      </w:r>
      <w:bookmarkStart w:id="0" w:name="OLE_LINK9"/>
      <w:r w:rsidRPr="00616C74">
        <w:t>https://www.dhs.gov/trusted-internet-connections</w:t>
      </w:r>
      <w:bookmarkEnd w:id="0"/>
    </w:p>
  </w:footnote>
  <w:footnote w:id="2">
    <w:p w14:paraId="75F38E82" w14:textId="77777777" w:rsidR="00EF685F" w:rsidRDefault="00EF685F" w:rsidP="00D81616">
      <w:pPr>
        <w:pStyle w:val="FootnoteText"/>
      </w:pPr>
      <w:r>
        <w:rPr>
          <w:rStyle w:val="FootnoteReference"/>
        </w:rPr>
        <w:footnoteRef/>
      </w:r>
      <w:r>
        <w:t xml:space="preserve"> See </w:t>
      </w:r>
      <w:bookmarkStart w:id="1" w:name="OLE_LINK8"/>
      <w:r w:rsidR="00E04656">
        <w:fldChar w:fldCharType="begin"/>
      </w:r>
      <w:r w:rsidR="00E04656">
        <w:instrText xml:space="preserve"> HYPERLINK "https://www.dhs.gov/publication/einstein-3-accelerated" </w:instrText>
      </w:r>
      <w:r w:rsidR="00E04656">
        <w:fldChar w:fldCharType="separate"/>
      </w:r>
      <w:r w:rsidRPr="00EA16BE">
        <w:rPr>
          <w:rStyle w:val="Hyperlink"/>
        </w:rPr>
        <w:t>https://www.dhs.gov/publication/einstein-3-accelerated</w:t>
      </w:r>
      <w:r w:rsidR="00E04656">
        <w:rPr>
          <w:rStyle w:val="Hyperlink"/>
        </w:rPr>
        <w:fldChar w:fldCharType="end"/>
      </w:r>
      <w:r>
        <w:t xml:space="preserve"> </w:t>
      </w:r>
      <w:bookmarkEnd w:id="1"/>
    </w:p>
  </w:footnote>
  <w:footnote w:id="3">
    <w:p w14:paraId="125D4B2D" w14:textId="6AC43789" w:rsidR="00D81616" w:rsidRDefault="00D81616" w:rsidP="00D81616">
      <w:pPr>
        <w:pStyle w:val="FootnoteText"/>
      </w:pPr>
      <w:r>
        <w:rPr>
          <w:rStyle w:val="FootnoteReference"/>
        </w:rPr>
        <w:footnoteRef/>
      </w:r>
      <w:r>
        <w:t xml:space="preserve"> Note that Transport Layer Security (TLS) was originally called Secure Socket Layer (SSL), and many documents still call it by that name.</w:t>
      </w:r>
    </w:p>
  </w:footnote>
  <w:footnote w:id="4">
    <w:p w14:paraId="6FDBAEDE" w14:textId="5FBD6238" w:rsidR="00C508A6" w:rsidRDefault="00C508A6" w:rsidP="007E5705">
      <w:pPr>
        <w:pStyle w:val="FootnoteText"/>
      </w:pPr>
      <w:r>
        <w:rPr>
          <w:rStyle w:val="FootnoteReference"/>
        </w:rPr>
        <w:footnoteRef/>
      </w:r>
      <w:r>
        <w:t xml:space="preserve"> </w:t>
      </w:r>
      <w:bookmarkStart w:id="7" w:name="OLE_LINK6"/>
      <w:bookmarkStart w:id="8" w:name="OLE_LINK7"/>
      <w:r w:rsidRPr="00D81616">
        <w:t>https://www.dhs.gov/sites/default/files/publications/privacy-pia-nppd-einstein3a-may2016.pdf</w:t>
      </w:r>
      <w:bookmarkEnd w:id="7"/>
      <w:bookmarkEnd w:id="8"/>
    </w:p>
  </w:footnote>
  <w:footnote w:id="5">
    <w:p w14:paraId="44FD94CB" w14:textId="4B5CC8F3" w:rsidR="00EF685F" w:rsidRDefault="00EF685F" w:rsidP="007E5705">
      <w:pPr>
        <w:pStyle w:val="FootnoteText"/>
      </w:pPr>
      <w:r>
        <w:rPr>
          <w:rStyle w:val="FootnoteReference"/>
        </w:rPr>
        <w:footnoteRef/>
      </w:r>
      <w:r>
        <w:t xml:space="preserve"> </w:t>
      </w:r>
      <w:r w:rsidRPr="00320D7D">
        <w:t>https://www.census.gov/prod/2001pubs/bc-1428rv.pdf</w:t>
      </w:r>
    </w:p>
  </w:footnote>
  <w:footnote w:id="6">
    <w:p w14:paraId="11E85B20" w14:textId="04FFC243" w:rsidR="00B92DB3" w:rsidRDefault="00B92DB3" w:rsidP="007E5705">
      <w:r>
        <w:rPr>
          <w:rStyle w:val="FootnoteReference"/>
        </w:rPr>
        <w:footnoteRef/>
      </w:r>
      <w:r>
        <w:t xml:space="preserve"> Federal Register December 14, 2016 https://www.federalregister.gov/documents/2016/12/14/2016-30014/confidentiality-pledge-revision-notice.</w:t>
      </w:r>
    </w:p>
  </w:footnote>
  <w:footnote w:id="7">
    <w:p w14:paraId="1E0DEE47" w14:textId="1894D0E6" w:rsidR="00EF685F" w:rsidRDefault="00EF685F" w:rsidP="00D81616">
      <w:pPr>
        <w:pStyle w:val="FootnoteText"/>
      </w:pPr>
      <w:r>
        <w:rPr>
          <w:rStyle w:val="FootnoteReference"/>
        </w:rPr>
        <w:footnoteRef/>
      </w:r>
      <w:r>
        <w:t xml:space="preserve"> </w:t>
      </w:r>
      <w:r w:rsidRPr="00AE3C3A">
        <w:t>https://www.w3.org/TR/WebCryptoAPI/</w:t>
      </w:r>
    </w:p>
  </w:footnote>
  <w:footnote w:id="8">
    <w:p w14:paraId="0ED9F6BB" w14:textId="0F6428C5" w:rsidR="00EF685F" w:rsidRDefault="00EF685F" w:rsidP="00D81616">
      <w:pPr>
        <w:pStyle w:val="FootnoteText"/>
      </w:pPr>
      <w:r>
        <w:rPr>
          <w:rStyle w:val="FootnoteReference"/>
        </w:rPr>
        <w:footnoteRef/>
      </w:r>
      <w:r>
        <w:t xml:space="preserve"> https://www.anonymizer.com/</w:t>
      </w:r>
    </w:p>
  </w:footnote>
  <w:footnote w:id="9">
    <w:p w14:paraId="70726DD7" w14:textId="075051BF" w:rsidR="00EF685F" w:rsidRDefault="00EF685F" w:rsidP="007E5705">
      <w:pPr>
        <w:pStyle w:val="FootnoteText"/>
      </w:pPr>
      <w:r>
        <w:rPr>
          <w:rStyle w:val="FootnoteReference"/>
        </w:rPr>
        <w:footnoteRef/>
      </w:r>
      <w:r>
        <w:t xml:space="preserve"> https://www.torproject.org/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20AC3" w14:textId="3DD0E0B0" w:rsidR="00EF685F" w:rsidRDefault="00EF685F">
    <w:pPr>
      <w:pStyle w:val="Header"/>
    </w:pPr>
    <w:r>
      <w:t>Simson L. Garfinkel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D385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55158"/>
    <w:multiLevelType w:val="hybridMultilevel"/>
    <w:tmpl w:val="F6A82A14"/>
    <w:lvl w:ilvl="0" w:tplc="B71059C2">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D5651"/>
    <w:multiLevelType w:val="hybridMultilevel"/>
    <w:tmpl w:val="8A681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559AC"/>
    <w:multiLevelType w:val="hybridMultilevel"/>
    <w:tmpl w:val="C4707158"/>
    <w:lvl w:ilvl="0" w:tplc="B71059C2">
      <w:numFmt w:val="bullet"/>
      <w:lvlText w:val=""/>
      <w:lvlJc w:val="left"/>
      <w:pPr>
        <w:ind w:left="1080" w:hanging="360"/>
      </w:pPr>
      <w:rPr>
        <w:rFonts w:ascii="Symbol" w:eastAsia="ヒラギノ角ゴ Pro W3"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462A0C"/>
    <w:multiLevelType w:val="hybridMultilevel"/>
    <w:tmpl w:val="EE7E1B02"/>
    <w:lvl w:ilvl="0" w:tplc="299CA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37953"/>
    <w:multiLevelType w:val="hybridMultilevel"/>
    <w:tmpl w:val="B9241B4C"/>
    <w:lvl w:ilvl="0" w:tplc="7AFCAE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32669"/>
    <w:multiLevelType w:val="hybridMultilevel"/>
    <w:tmpl w:val="685AADB6"/>
    <w:lvl w:ilvl="0" w:tplc="B9E4DBDE">
      <w:start w:val="1"/>
      <w:numFmt w:val="bullet"/>
      <w:pStyle w:val="BodywithBullets"/>
      <w:lvlText w:val=""/>
      <w:lvlJc w:val="left"/>
      <w:pPr>
        <w:tabs>
          <w:tab w:val="num" w:pos="720"/>
        </w:tabs>
        <w:ind w:left="720" w:hanging="360"/>
      </w:pPr>
      <w:rPr>
        <w:rFonts w:ascii="Symbol" w:hAnsi="Symbol" w:hint="default"/>
        <w:color w:val="auto"/>
      </w:rPr>
    </w:lvl>
    <w:lvl w:ilvl="1" w:tplc="27D43AA8">
      <w:start w:val="1"/>
      <w:numFmt w:val="bullet"/>
      <w:lvlText w:val=""/>
      <w:lvlJc w:val="left"/>
      <w:pPr>
        <w:tabs>
          <w:tab w:val="num" w:pos="1440"/>
        </w:tabs>
        <w:ind w:left="1440" w:hanging="360"/>
      </w:pPr>
      <w:rPr>
        <w:rFonts w:ascii="Symbol" w:hAnsi="Symbol" w:hint="default"/>
      </w:rPr>
    </w:lvl>
    <w:lvl w:ilvl="2" w:tplc="AB7AFD34" w:tentative="1">
      <w:start w:val="1"/>
      <w:numFmt w:val="bullet"/>
      <w:lvlText w:val=""/>
      <w:lvlJc w:val="left"/>
      <w:pPr>
        <w:tabs>
          <w:tab w:val="num" w:pos="2160"/>
        </w:tabs>
        <w:ind w:left="2160" w:hanging="360"/>
      </w:pPr>
      <w:rPr>
        <w:rFonts w:ascii="Wingdings" w:hAnsi="Wingdings" w:hint="default"/>
      </w:rPr>
    </w:lvl>
    <w:lvl w:ilvl="3" w:tplc="61A67758" w:tentative="1">
      <w:start w:val="1"/>
      <w:numFmt w:val="bullet"/>
      <w:lvlText w:val=""/>
      <w:lvlJc w:val="left"/>
      <w:pPr>
        <w:tabs>
          <w:tab w:val="num" w:pos="2880"/>
        </w:tabs>
        <w:ind w:left="2880" w:hanging="360"/>
      </w:pPr>
      <w:rPr>
        <w:rFonts w:ascii="Symbol" w:hAnsi="Symbol" w:hint="default"/>
      </w:rPr>
    </w:lvl>
    <w:lvl w:ilvl="4" w:tplc="077EDAE6" w:tentative="1">
      <w:start w:val="1"/>
      <w:numFmt w:val="bullet"/>
      <w:lvlText w:val="o"/>
      <w:lvlJc w:val="left"/>
      <w:pPr>
        <w:tabs>
          <w:tab w:val="num" w:pos="3600"/>
        </w:tabs>
        <w:ind w:left="3600" w:hanging="360"/>
      </w:pPr>
      <w:rPr>
        <w:rFonts w:ascii="Courier New" w:hAnsi="Courier New" w:hint="default"/>
      </w:rPr>
    </w:lvl>
    <w:lvl w:ilvl="5" w:tplc="3A183E1A" w:tentative="1">
      <w:start w:val="1"/>
      <w:numFmt w:val="bullet"/>
      <w:lvlText w:val=""/>
      <w:lvlJc w:val="left"/>
      <w:pPr>
        <w:tabs>
          <w:tab w:val="num" w:pos="4320"/>
        </w:tabs>
        <w:ind w:left="4320" w:hanging="360"/>
      </w:pPr>
      <w:rPr>
        <w:rFonts w:ascii="Wingdings" w:hAnsi="Wingdings" w:hint="default"/>
      </w:rPr>
    </w:lvl>
    <w:lvl w:ilvl="6" w:tplc="DC6E09C8" w:tentative="1">
      <w:start w:val="1"/>
      <w:numFmt w:val="bullet"/>
      <w:lvlText w:val=""/>
      <w:lvlJc w:val="left"/>
      <w:pPr>
        <w:tabs>
          <w:tab w:val="num" w:pos="5040"/>
        </w:tabs>
        <w:ind w:left="5040" w:hanging="360"/>
      </w:pPr>
      <w:rPr>
        <w:rFonts w:ascii="Symbol" w:hAnsi="Symbol" w:hint="default"/>
      </w:rPr>
    </w:lvl>
    <w:lvl w:ilvl="7" w:tplc="99304914" w:tentative="1">
      <w:start w:val="1"/>
      <w:numFmt w:val="bullet"/>
      <w:lvlText w:val="o"/>
      <w:lvlJc w:val="left"/>
      <w:pPr>
        <w:tabs>
          <w:tab w:val="num" w:pos="5760"/>
        </w:tabs>
        <w:ind w:left="5760" w:hanging="360"/>
      </w:pPr>
      <w:rPr>
        <w:rFonts w:ascii="Courier New" w:hAnsi="Courier New" w:hint="default"/>
      </w:rPr>
    </w:lvl>
    <w:lvl w:ilvl="8" w:tplc="D8DADDB2" w:tentative="1">
      <w:start w:val="1"/>
      <w:numFmt w:val="bullet"/>
      <w:lvlText w:val=""/>
      <w:lvlJc w:val="left"/>
      <w:pPr>
        <w:tabs>
          <w:tab w:val="num" w:pos="6480"/>
        </w:tabs>
        <w:ind w:left="6480" w:hanging="360"/>
      </w:pPr>
      <w:rPr>
        <w:rFonts w:ascii="Wingdings" w:hAnsi="Wingdings" w:hint="default"/>
      </w:rPr>
    </w:lvl>
  </w:abstractNum>
  <w:abstractNum w:abstractNumId="7">
    <w:nsid w:val="49F86C59"/>
    <w:multiLevelType w:val="hybridMultilevel"/>
    <w:tmpl w:val="BA84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35"/>
    <w:rsid w:val="0004477D"/>
    <w:rsid w:val="0006591F"/>
    <w:rsid w:val="00095A36"/>
    <w:rsid w:val="000D3A99"/>
    <w:rsid w:val="000E3FAD"/>
    <w:rsid w:val="000E46B8"/>
    <w:rsid w:val="000F3F35"/>
    <w:rsid w:val="00132446"/>
    <w:rsid w:val="001402E4"/>
    <w:rsid w:val="001500A9"/>
    <w:rsid w:val="00153F26"/>
    <w:rsid w:val="0016283B"/>
    <w:rsid w:val="00172FE3"/>
    <w:rsid w:val="001742C0"/>
    <w:rsid w:val="001B20CD"/>
    <w:rsid w:val="00242D5F"/>
    <w:rsid w:val="00282447"/>
    <w:rsid w:val="0028737A"/>
    <w:rsid w:val="002C5FC8"/>
    <w:rsid w:val="002E0BE7"/>
    <w:rsid w:val="002F7144"/>
    <w:rsid w:val="0031435E"/>
    <w:rsid w:val="00320D7D"/>
    <w:rsid w:val="0032250D"/>
    <w:rsid w:val="00360EEE"/>
    <w:rsid w:val="003B62D8"/>
    <w:rsid w:val="003F1E0B"/>
    <w:rsid w:val="0041628D"/>
    <w:rsid w:val="00417405"/>
    <w:rsid w:val="00495462"/>
    <w:rsid w:val="004D341F"/>
    <w:rsid w:val="004D4EED"/>
    <w:rsid w:val="004E548F"/>
    <w:rsid w:val="00500E42"/>
    <w:rsid w:val="005275F3"/>
    <w:rsid w:val="00542304"/>
    <w:rsid w:val="00545B36"/>
    <w:rsid w:val="00575684"/>
    <w:rsid w:val="00591B0D"/>
    <w:rsid w:val="005951A4"/>
    <w:rsid w:val="0059605A"/>
    <w:rsid w:val="005D3C27"/>
    <w:rsid w:val="005E21C2"/>
    <w:rsid w:val="00616C74"/>
    <w:rsid w:val="00662888"/>
    <w:rsid w:val="00664863"/>
    <w:rsid w:val="006A3A2F"/>
    <w:rsid w:val="006B11EC"/>
    <w:rsid w:val="006C48AC"/>
    <w:rsid w:val="006C6863"/>
    <w:rsid w:val="006F54D7"/>
    <w:rsid w:val="007246E3"/>
    <w:rsid w:val="007471DB"/>
    <w:rsid w:val="00760337"/>
    <w:rsid w:val="00763918"/>
    <w:rsid w:val="007C1CE6"/>
    <w:rsid w:val="007D550F"/>
    <w:rsid w:val="007E5705"/>
    <w:rsid w:val="007F0AC4"/>
    <w:rsid w:val="007F43AA"/>
    <w:rsid w:val="007F64EE"/>
    <w:rsid w:val="00806C1A"/>
    <w:rsid w:val="00812238"/>
    <w:rsid w:val="008303CE"/>
    <w:rsid w:val="008358B8"/>
    <w:rsid w:val="00840922"/>
    <w:rsid w:val="00873E96"/>
    <w:rsid w:val="008802A9"/>
    <w:rsid w:val="00887397"/>
    <w:rsid w:val="008C1FB8"/>
    <w:rsid w:val="0090214D"/>
    <w:rsid w:val="00917327"/>
    <w:rsid w:val="009A6BCB"/>
    <w:rsid w:val="009B22B8"/>
    <w:rsid w:val="009C28A3"/>
    <w:rsid w:val="009E36BE"/>
    <w:rsid w:val="00A07F80"/>
    <w:rsid w:val="00A14202"/>
    <w:rsid w:val="00A26929"/>
    <w:rsid w:val="00A9538B"/>
    <w:rsid w:val="00AC761A"/>
    <w:rsid w:val="00AE234E"/>
    <w:rsid w:val="00AE3585"/>
    <w:rsid w:val="00AE3C3A"/>
    <w:rsid w:val="00AE7210"/>
    <w:rsid w:val="00AF7701"/>
    <w:rsid w:val="00B735E8"/>
    <w:rsid w:val="00B901B8"/>
    <w:rsid w:val="00B92DB3"/>
    <w:rsid w:val="00BB495D"/>
    <w:rsid w:val="00C03CEF"/>
    <w:rsid w:val="00C07D59"/>
    <w:rsid w:val="00C461EF"/>
    <w:rsid w:val="00C508A6"/>
    <w:rsid w:val="00C87F17"/>
    <w:rsid w:val="00C96128"/>
    <w:rsid w:val="00CC6318"/>
    <w:rsid w:val="00CF244D"/>
    <w:rsid w:val="00D81616"/>
    <w:rsid w:val="00D87E8F"/>
    <w:rsid w:val="00DA6559"/>
    <w:rsid w:val="00E03686"/>
    <w:rsid w:val="00E04656"/>
    <w:rsid w:val="00E11E9C"/>
    <w:rsid w:val="00E13EFA"/>
    <w:rsid w:val="00E243D1"/>
    <w:rsid w:val="00E76F20"/>
    <w:rsid w:val="00E771F2"/>
    <w:rsid w:val="00E8008F"/>
    <w:rsid w:val="00EA2522"/>
    <w:rsid w:val="00EA3E96"/>
    <w:rsid w:val="00EB659C"/>
    <w:rsid w:val="00EF206E"/>
    <w:rsid w:val="00EF685F"/>
    <w:rsid w:val="00F01883"/>
    <w:rsid w:val="00F07537"/>
    <w:rsid w:val="00F1798C"/>
    <w:rsid w:val="00F37070"/>
    <w:rsid w:val="00F50BCF"/>
    <w:rsid w:val="00FB20BD"/>
    <w:rsid w:val="00FD57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9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20BD"/>
    <w:pPr>
      <w:spacing w:after="240"/>
    </w:pPr>
    <w:rPr>
      <w:rFonts w:ascii="Georgia" w:eastAsia="ヒラギノ角ゴ Pro W3" w:hAnsi="Georgia" w:cs="Times New Roman"/>
      <w:color w:val="32302E"/>
      <w:sz w:val="22"/>
    </w:rPr>
  </w:style>
  <w:style w:type="paragraph" w:styleId="Heading1">
    <w:name w:val="heading 1"/>
    <w:basedOn w:val="Normal"/>
    <w:next w:val="Normal"/>
    <w:link w:val="Heading1Char"/>
    <w:uiPriority w:val="9"/>
    <w:qFormat/>
    <w:rsid w:val="00314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EEE"/>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6648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withBullets">
    <w:name w:val="Body with Bullets"/>
    <w:basedOn w:val="BodyText"/>
    <w:autoRedefine/>
    <w:qFormat/>
    <w:rsid w:val="00E11E9C"/>
    <w:pPr>
      <w:numPr>
        <w:numId w:val="2"/>
      </w:numPr>
      <w:spacing w:after="40"/>
    </w:pPr>
    <w:rPr>
      <w:rFonts w:ascii="Times New Roman" w:hAnsi="Times New Roman"/>
    </w:rPr>
  </w:style>
  <w:style w:type="paragraph" w:styleId="BodyText">
    <w:name w:val="Body Text"/>
    <w:basedOn w:val="Normal"/>
    <w:link w:val="BodyTextChar"/>
    <w:uiPriority w:val="99"/>
    <w:semiHidden/>
    <w:unhideWhenUsed/>
    <w:rsid w:val="00E11E9C"/>
    <w:pPr>
      <w:spacing w:after="120"/>
    </w:pPr>
  </w:style>
  <w:style w:type="character" w:customStyle="1" w:styleId="BodyTextChar">
    <w:name w:val="Body Text Char"/>
    <w:basedOn w:val="DefaultParagraphFont"/>
    <w:link w:val="BodyText"/>
    <w:uiPriority w:val="99"/>
    <w:semiHidden/>
    <w:rsid w:val="00E11E9C"/>
  </w:style>
  <w:style w:type="character" w:customStyle="1" w:styleId="Heading1Char">
    <w:name w:val="Heading 1 Char"/>
    <w:basedOn w:val="DefaultParagraphFont"/>
    <w:link w:val="Heading1"/>
    <w:uiPriority w:val="9"/>
    <w:rsid w:val="003143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446"/>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D81616"/>
    <w:pPr>
      <w:spacing w:after="0"/>
    </w:pPr>
    <w:rPr>
      <w:szCs w:val="22"/>
    </w:rPr>
  </w:style>
  <w:style w:type="character" w:customStyle="1" w:styleId="FootnoteTextChar">
    <w:name w:val="Footnote Text Char"/>
    <w:basedOn w:val="DefaultParagraphFont"/>
    <w:link w:val="FootnoteText"/>
    <w:uiPriority w:val="99"/>
    <w:rsid w:val="00D81616"/>
    <w:rPr>
      <w:rFonts w:ascii="Georgia" w:eastAsia="ヒラギノ角ゴ Pro W3" w:hAnsi="Georgia" w:cs="Times New Roman"/>
      <w:color w:val="32302E"/>
      <w:sz w:val="22"/>
      <w:szCs w:val="22"/>
    </w:rPr>
  </w:style>
  <w:style w:type="character" w:styleId="FootnoteReference">
    <w:name w:val="footnote reference"/>
    <w:basedOn w:val="DefaultParagraphFont"/>
    <w:uiPriority w:val="99"/>
    <w:unhideWhenUsed/>
    <w:rsid w:val="00320D7D"/>
    <w:rPr>
      <w:vertAlign w:val="superscript"/>
    </w:rPr>
  </w:style>
  <w:style w:type="paragraph" w:styleId="ListParagraph">
    <w:name w:val="List Paragraph"/>
    <w:basedOn w:val="Normal"/>
    <w:qFormat/>
    <w:rsid w:val="00FB20BD"/>
    <w:pPr>
      <w:ind w:left="720"/>
      <w:contextualSpacing/>
    </w:pPr>
  </w:style>
  <w:style w:type="paragraph" w:customStyle="1" w:styleId="Code">
    <w:name w:val="Code"/>
    <w:basedOn w:val="Normal"/>
    <w:qFormat/>
    <w:rsid w:val="00FB20BD"/>
    <w:pPr>
      <w:ind w:firstLine="720"/>
    </w:pPr>
    <w:rPr>
      <w:rFonts w:ascii="Consolas" w:hAnsi="Consolas"/>
    </w:rPr>
  </w:style>
  <w:style w:type="paragraph" w:styleId="Header">
    <w:name w:val="header"/>
    <w:basedOn w:val="Normal"/>
    <w:link w:val="HeaderChar"/>
    <w:uiPriority w:val="99"/>
    <w:unhideWhenUsed/>
    <w:rsid w:val="000E3FAD"/>
    <w:pPr>
      <w:tabs>
        <w:tab w:val="center" w:pos="4680"/>
        <w:tab w:val="right" w:pos="9360"/>
      </w:tabs>
      <w:spacing w:after="0"/>
    </w:pPr>
  </w:style>
  <w:style w:type="character" w:customStyle="1" w:styleId="HeaderChar">
    <w:name w:val="Header Char"/>
    <w:basedOn w:val="DefaultParagraphFont"/>
    <w:link w:val="Header"/>
    <w:uiPriority w:val="99"/>
    <w:rsid w:val="000E3FAD"/>
    <w:rPr>
      <w:rFonts w:ascii="Georgia" w:eastAsia="ヒラギノ角ゴ Pro W3" w:hAnsi="Georgia" w:cs="Times New Roman"/>
      <w:color w:val="32302E"/>
      <w:sz w:val="22"/>
    </w:rPr>
  </w:style>
  <w:style w:type="paragraph" w:styleId="Footer">
    <w:name w:val="footer"/>
    <w:basedOn w:val="Normal"/>
    <w:link w:val="FooterChar"/>
    <w:uiPriority w:val="99"/>
    <w:unhideWhenUsed/>
    <w:rsid w:val="000E3FAD"/>
    <w:pPr>
      <w:tabs>
        <w:tab w:val="center" w:pos="4680"/>
        <w:tab w:val="right" w:pos="9360"/>
      </w:tabs>
      <w:spacing w:after="0"/>
    </w:pPr>
  </w:style>
  <w:style w:type="character" w:customStyle="1" w:styleId="FooterChar">
    <w:name w:val="Footer Char"/>
    <w:basedOn w:val="DefaultParagraphFont"/>
    <w:link w:val="Footer"/>
    <w:uiPriority w:val="99"/>
    <w:rsid w:val="000E3FAD"/>
    <w:rPr>
      <w:rFonts w:ascii="Georgia" w:eastAsia="ヒラギノ角ゴ Pro W3" w:hAnsi="Georgia" w:cs="Times New Roman"/>
      <w:color w:val="32302E"/>
      <w:sz w:val="22"/>
    </w:rPr>
  </w:style>
  <w:style w:type="character" w:styleId="PageNumber">
    <w:name w:val="page number"/>
    <w:basedOn w:val="DefaultParagraphFont"/>
    <w:uiPriority w:val="99"/>
    <w:semiHidden/>
    <w:unhideWhenUsed/>
    <w:rsid w:val="006B11EC"/>
  </w:style>
  <w:style w:type="character" w:styleId="Hyperlink">
    <w:name w:val="Hyperlink"/>
    <w:basedOn w:val="DefaultParagraphFont"/>
    <w:uiPriority w:val="99"/>
    <w:unhideWhenUsed/>
    <w:rsid w:val="00BB495D"/>
    <w:rPr>
      <w:color w:val="0563C1" w:themeColor="hyperlink"/>
      <w:u w:val="single"/>
    </w:rPr>
  </w:style>
  <w:style w:type="paragraph" w:styleId="BalloonText">
    <w:name w:val="Balloon Text"/>
    <w:basedOn w:val="Normal"/>
    <w:link w:val="BalloonTextChar"/>
    <w:uiPriority w:val="99"/>
    <w:semiHidden/>
    <w:unhideWhenUsed/>
    <w:rsid w:val="00B92DB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DB3"/>
    <w:rPr>
      <w:rFonts w:ascii="Segoe UI" w:eastAsia="ヒラギノ角ゴ Pro W3" w:hAnsi="Segoe UI" w:cs="Segoe UI"/>
      <w:color w:val="32302E"/>
      <w:sz w:val="18"/>
      <w:szCs w:val="18"/>
    </w:rPr>
  </w:style>
  <w:style w:type="character" w:customStyle="1" w:styleId="Heading3Char">
    <w:name w:val="Heading 3 Char"/>
    <w:basedOn w:val="DefaultParagraphFont"/>
    <w:link w:val="Heading3"/>
    <w:uiPriority w:val="9"/>
    <w:rsid w:val="00360EE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64863"/>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334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CD76F-7A43-1243-88A7-B6ACD16F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1772</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Garfinkel, Simson L. (Fed)</dc:creator>
  <cp:keywords/>
  <dc:description/>
  <cp:lastModifiedBy>Garfinkel, Simson L. (Fed)</cp:lastModifiedBy>
  <cp:revision>21</cp:revision>
  <cp:lastPrinted>2016-12-17T20:52:00Z</cp:lastPrinted>
  <dcterms:created xsi:type="dcterms:W3CDTF">2016-12-19T00:45:00Z</dcterms:created>
  <dcterms:modified xsi:type="dcterms:W3CDTF">2016-12-20T02:35:00Z</dcterms:modified>
</cp:coreProperties>
</file>