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D45DC">
      <w:pPr>
        <w:jc w:val="center"/>
        <w:rPr>
          <w:b/>
          <w:bCs/>
          <w:sz w:val="32"/>
          <w:szCs w:val="32"/>
        </w:rPr>
      </w:pPr>
      <w:r>
        <w:rPr>
          <w:rFonts w:hint="eastAsia"/>
          <w:b/>
          <w:bCs/>
          <w:sz w:val="32"/>
          <w:szCs w:val="32"/>
        </w:rPr>
        <w:t>202</w:t>
      </w:r>
      <w:r>
        <w:rPr>
          <w:rFonts w:hint="default"/>
          <w:b/>
          <w:bCs/>
          <w:sz w:val="32"/>
          <w:szCs w:val="32"/>
          <w:lang w:val="en-US"/>
        </w:rPr>
        <w:t>5</w:t>
      </w:r>
      <w:r>
        <w:rPr>
          <w:rFonts w:hint="eastAsia"/>
          <w:b/>
          <w:bCs/>
          <w:sz w:val="32"/>
          <w:szCs w:val="32"/>
        </w:rPr>
        <w:t>~202</w:t>
      </w:r>
      <w:r>
        <w:rPr>
          <w:rFonts w:hint="default"/>
          <w:b/>
          <w:bCs/>
          <w:sz w:val="32"/>
          <w:szCs w:val="32"/>
          <w:lang w:val="en-US"/>
        </w:rPr>
        <w:t>6</w:t>
      </w:r>
      <w:r>
        <w:rPr>
          <w:rFonts w:hint="eastAsia"/>
          <w:b/>
          <w:bCs/>
          <w:sz w:val="32"/>
          <w:szCs w:val="32"/>
        </w:rPr>
        <w:t xml:space="preserve"> Academic Year, </w:t>
      </w:r>
      <w:r>
        <w:rPr>
          <w:rFonts w:hint="default"/>
          <w:b/>
          <w:bCs/>
          <w:sz w:val="32"/>
          <w:szCs w:val="32"/>
          <w:lang w:val="en-US"/>
        </w:rPr>
        <w:t xml:space="preserve">Mini </w:t>
      </w:r>
      <w:r>
        <w:rPr>
          <w:rFonts w:hint="eastAsia"/>
          <w:b/>
          <w:bCs/>
          <w:sz w:val="32"/>
          <w:szCs w:val="32"/>
        </w:rPr>
        <w:t xml:space="preserve">Semester </w:t>
      </w:r>
    </w:p>
    <w:p w14:paraId="485DDE91">
      <w:pPr>
        <w:jc w:val="center"/>
        <w:rPr>
          <w:b/>
          <w:bCs/>
          <w:sz w:val="44"/>
        </w:rPr>
      </w:pPr>
      <w:r>
        <w:rPr>
          <w:rFonts w:hint="eastAsia"/>
          <w:b/>
          <w:bCs/>
          <w:sz w:val="44"/>
        </w:rPr>
        <w:t>Practical Training / Internship Weekly Report</w:t>
      </w:r>
    </w:p>
    <w:p w14:paraId="54302BC1">
      <w:pPr>
        <w:jc w:val="right"/>
        <w:rPr>
          <w:sz w:val="24"/>
        </w:rPr>
      </w:pPr>
      <w:r>
        <w:rPr>
          <w:sz w:val="24"/>
        </w:rPr>
        <w:t xml:space="preserve">                     </w:t>
      </w:r>
    </w:p>
    <w:tbl>
      <w:tblPr>
        <w:tblStyle w:val="3"/>
        <w:tblW w:w="86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328"/>
        <w:gridCol w:w="957"/>
        <w:gridCol w:w="2296"/>
        <w:gridCol w:w="1050"/>
        <w:gridCol w:w="1704"/>
      </w:tblGrid>
      <w:tr w14:paraId="4A2FF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1296" w:type="dxa"/>
            <w:tcBorders>
              <w:top w:val="single" w:color="auto" w:sz="4" w:space="0"/>
              <w:left w:val="single" w:color="auto" w:sz="4" w:space="0"/>
              <w:bottom w:val="single" w:color="auto" w:sz="4" w:space="0"/>
              <w:right w:val="single" w:color="auto" w:sz="4" w:space="0"/>
            </w:tcBorders>
            <w:vAlign w:val="center"/>
          </w:tcPr>
          <w:p w14:paraId="570B651A">
            <w:pPr>
              <w:jc w:val="center"/>
              <w:rPr>
                <w:sz w:val="24"/>
              </w:rPr>
            </w:pPr>
            <w:r>
              <w:rPr>
                <w:rFonts w:hint="eastAsia"/>
                <w:sz w:val="24"/>
              </w:rPr>
              <w:t>Name</w:t>
            </w:r>
          </w:p>
        </w:tc>
        <w:tc>
          <w:tcPr>
            <w:tcW w:w="1328" w:type="dxa"/>
            <w:tcBorders>
              <w:top w:val="single" w:color="auto" w:sz="4" w:space="0"/>
              <w:left w:val="single" w:color="auto" w:sz="4" w:space="0"/>
              <w:bottom w:val="single" w:color="auto" w:sz="4" w:space="0"/>
              <w:right w:val="single" w:color="auto" w:sz="4" w:space="0"/>
            </w:tcBorders>
            <w:vAlign w:val="center"/>
          </w:tcPr>
          <w:p w14:paraId="6B32760D">
            <w:pPr>
              <w:jc w:val="center"/>
              <w:rPr>
                <w:rFonts w:hint="default"/>
                <w:sz w:val="24"/>
                <w:lang w:val="en-US"/>
              </w:rPr>
            </w:pPr>
            <w:r>
              <w:rPr>
                <w:rFonts w:hint="default"/>
                <w:sz w:val="24"/>
                <w:lang w:val="en-US"/>
              </w:rPr>
              <w:t>Islam Md Simul</w:t>
            </w:r>
          </w:p>
        </w:tc>
        <w:tc>
          <w:tcPr>
            <w:tcW w:w="957" w:type="dxa"/>
            <w:tcBorders>
              <w:top w:val="single" w:color="auto" w:sz="4" w:space="0"/>
              <w:left w:val="single" w:color="auto" w:sz="4" w:space="0"/>
              <w:bottom w:val="single" w:color="auto" w:sz="4" w:space="0"/>
              <w:right w:val="single" w:color="auto" w:sz="4" w:space="0"/>
            </w:tcBorders>
            <w:vAlign w:val="center"/>
          </w:tcPr>
          <w:p w14:paraId="09E7C83D">
            <w:pPr>
              <w:jc w:val="center"/>
              <w:rPr>
                <w:sz w:val="24"/>
              </w:rPr>
            </w:pPr>
            <w:r>
              <w:rPr>
                <w:rFonts w:hint="eastAsia"/>
                <w:sz w:val="24"/>
              </w:rPr>
              <w:t>Class</w:t>
            </w:r>
          </w:p>
        </w:tc>
        <w:tc>
          <w:tcPr>
            <w:tcW w:w="2296" w:type="dxa"/>
            <w:tcBorders>
              <w:top w:val="single" w:color="auto" w:sz="4" w:space="0"/>
              <w:left w:val="single" w:color="auto" w:sz="4" w:space="0"/>
              <w:bottom w:val="single" w:color="auto" w:sz="4" w:space="0"/>
              <w:right w:val="single" w:color="auto" w:sz="4" w:space="0"/>
            </w:tcBorders>
            <w:vAlign w:val="center"/>
          </w:tcPr>
          <w:p w14:paraId="1BF974D9">
            <w:pPr>
              <w:jc w:val="left"/>
              <w:rPr>
                <w:rFonts w:hint="default"/>
                <w:sz w:val="24"/>
                <w:lang w:val="en-US"/>
              </w:rPr>
            </w:pPr>
            <w:r>
              <w:rPr>
                <w:rFonts w:hint="default"/>
                <w:sz w:val="24"/>
                <w:lang w:val="en-US"/>
              </w:rPr>
              <w:t>Software Engineering 23201</w:t>
            </w:r>
          </w:p>
        </w:tc>
        <w:tc>
          <w:tcPr>
            <w:tcW w:w="1050" w:type="dxa"/>
            <w:tcBorders>
              <w:top w:val="single" w:color="auto" w:sz="4" w:space="0"/>
              <w:left w:val="single" w:color="auto" w:sz="4" w:space="0"/>
              <w:bottom w:val="single" w:color="auto" w:sz="4" w:space="0"/>
              <w:right w:val="single" w:color="auto" w:sz="4" w:space="0"/>
            </w:tcBorders>
            <w:vAlign w:val="center"/>
          </w:tcPr>
          <w:p w14:paraId="4C047482">
            <w:pPr>
              <w:jc w:val="center"/>
              <w:rPr>
                <w:sz w:val="24"/>
              </w:rPr>
            </w:pPr>
            <w:r>
              <w:rPr>
                <w:rFonts w:hint="eastAsia"/>
                <w:sz w:val="24"/>
              </w:rPr>
              <w:t>Student ID</w:t>
            </w:r>
          </w:p>
        </w:tc>
        <w:tc>
          <w:tcPr>
            <w:tcW w:w="1704" w:type="dxa"/>
            <w:tcBorders>
              <w:top w:val="single" w:color="auto" w:sz="4" w:space="0"/>
              <w:left w:val="single" w:color="auto" w:sz="4" w:space="0"/>
              <w:bottom w:val="single" w:color="auto" w:sz="4" w:space="0"/>
              <w:right w:val="single" w:color="auto" w:sz="4" w:space="0"/>
            </w:tcBorders>
            <w:vAlign w:val="center"/>
          </w:tcPr>
          <w:p w14:paraId="61F68A99">
            <w:pPr>
              <w:jc w:val="center"/>
              <w:rPr>
                <w:rFonts w:hint="default"/>
                <w:sz w:val="24"/>
                <w:lang w:val="en-US"/>
              </w:rPr>
            </w:pPr>
            <w:r>
              <w:rPr>
                <w:rFonts w:hint="default"/>
                <w:sz w:val="24"/>
                <w:lang w:val="en-US"/>
              </w:rPr>
              <w:t>23320120006</w:t>
            </w:r>
          </w:p>
        </w:tc>
      </w:tr>
      <w:tr w14:paraId="76124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1296" w:type="dxa"/>
            <w:tcBorders>
              <w:top w:val="single" w:color="auto" w:sz="4" w:space="0"/>
              <w:left w:val="single" w:color="auto" w:sz="4" w:space="0"/>
              <w:bottom w:val="single" w:color="auto" w:sz="4" w:space="0"/>
              <w:right w:val="single" w:color="auto" w:sz="4" w:space="0"/>
            </w:tcBorders>
            <w:vAlign w:val="center"/>
          </w:tcPr>
          <w:p w14:paraId="3EDEE459">
            <w:pPr>
              <w:jc w:val="center"/>
              <w:rPr>
                <w:sz w:val="24"/>
              </w:rPr>
            </w:pPr>
            <w:r>
              <w:rPr>
                <w:rFonts w:hint="eastAsia"/>
                <w:sz w:val="24"/>
              </w:rPr>
              <w:t>Project</w:t>
            </w:r>
          </w:p>
          <w:p w14:paraId="20504A29">
            <w:pPr>
              <w:jc w:val="center"/>
              <w:rPr>
                <w:sz w:val="24"/>
              </w:rPr>
            </w:pPr>
            <w:r>
              <w:rPr>
                <w:rFonts w:hint="eastAsia"/>
                <w:sz w:val="24"/>
              </w:rPr>
              <w:t>Name</w:t>
            </w:r>
          </w:p>
        </w:tc>
        <w:tc>
          <w:tcPr>
            <w:tcW w:w="7335" w:type="dxa"/>
            <w:gridSpan w:val="5"/>
            <w:tcBorders>
              <w:top w:val="single" w:color="auto" w:sz="4" w:space="0"/>
              <w:left w:val="single" w:color="auto" w:sz="4" w:space="0"/>
              <w:bottom w:val="single" w:color="auto" w:sz="4" w:space="0"/>
              <w:right w:val="single" w:color="auto" w:sz="4" w:space="0"/>
            </w:tcBorders>
            <w:vAlign w:val="center"/>
          </w:tcPr>
          <w:p w14:paraId="26967BA6">
            <w:pPr>
              <w:jc w:val="center"/>
              <w:rPr>
                <w:sz w:val="24"/>
              </w:rPr>
            </w:pPr>
            <w:r>
              <w:rPr>
                <w:rFonts w:hint="default"/>
                <w:color w:val="0000FF"/>
                <w:sz w:val="24"/>
              </w:rPr>
              <w:t>VeriCart AI:</w:t>
            </w:r>
            <w:r>
              <w:rPr>
                <w:rFonts w:hint="default"/>
                <w:sz w:val="24"/>
              </w:rPr>
              <w:t xml:space="preserve"> An Intelligent Multi-LLM E-Commerce Platform for Trustworthy Online Shopping</w:t>
            </w:r>
          </w:p>
        </w:tc>
      </w:tr>
      <w:tr w14:paraId="5058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1296" w:type="dxa"/>
            <w:tcBorders>
              <w:top w:val="single" w:color="auto" w:sz="4" w:space="0"/>
              <w:left w:val="single" w:color="auto" w:sz="4" w:space="0"/>
              <w:bottom w:val="single" w:color="auto" w:sz="4" w:space="0"/>
              <w:right w:val="single" w:color="auto" w:sz="4" w:space="0"/>
            </w:tcBorders>
            <w:vAlign w:val="center"/>
          </w:tcPr>
          <w:p w14:paraId="0CB9A78F">
            <w:pPr>
              <w:jc w:val="center"/>
              <w:rPr>
                <w:sz w:val="24"/>
              </w:rPr>
            </w:pPr>
            <w:r>
              <w:rPr>
                <w:rFonts w:hint="eastAsia"/>
                <w:sz w:val="24"/>
              </w:rPr>
              <w:t>Supervisor</w:t>
            </w:r>
          </w:p>
          <w:p w14:paraId="67573061">
            <w:pPr>
              <w:jc w:val="center"/>
              <w:rPr>
                <w:sz w:val="24"/>
              </w:rPr>
            </w:pPr>
          </w:p>
        </w:tc>
        <w:tc>
          <w:tcPr>
            <w:tcW w:w="4581" w:type="dxa"/>
            <w:gridSpan w:val="3"/>
            <w:tcBorders>
              <w:top w:val="single" w:color="auto" w:sz="4" w:space="0"/>
              <w:left w:val="single" w:color="auto" w:sz="4" w:space="0"/>
              <w:bottom w:val="single" w:color="auto" w:sz="4" w:space="0"/>
              <w:right w:val="single" w:color="auto" w:sz="4" w:space="0"/>
            </w:tcBorders>
            <w:vAlign w:val="center"/>
          </w:tcPr>
          <w:p w14:paraId="16E7D8ED">
            <w:pPr>
              <w:jc w:val="center"/>
              <w:rPr>
                <w:sz w:val="24"/>
              </w:rPr>
            </w:pPr>
            <w:r>
              <w:rPr>
                <w:rFonts w:hint="default"/>
                <w:sz w:val="24"/>
                <w:lang w:val="en-US"/>
              </w:rPr>
              <w:t xml:space="preserve">Teacher </w:t>
            </w:r>
            <w:r>
              <w:rPr>
                <w:rFonts w:hint="default"/>
                <w:sz w:val="24"/>
              </w:rPr>
              <w:t>Long JiaYue</w:t>
            </w:r>
          </w:p>
        </w:tc>
        <w:tc>
          <w:tcPr>
            <w:tcW w:w="1050" w:type="dxa"/>
            <w:tcBorders>
              <w:top w:val="single" w:color="auto" w:sz="4" w:space="0"/>
              <w:left w:val="single" w:color="auto" w:sz="4" w:space="0"/>
              <w:bottom w:val="single" w:color="auto" w:sz="4" w:space="0"/>
              <w:right w:val="single" w:color="auto" w:sz="4" w:space="0"/>
            </w:tcBorders>
            <w:vAlign w:val="center"/>
          </w:tcPr>
          <w:p w14:paraId="5779ADD9">
            <w:pPr>
              <w:jc w:val="center"/>
              <w:rPr>
                <w:sz w:val="24"/>
              </w:rPr>
            </w:pPr>
            <w:r>
              <w:rPr>
                <w:rFonts w:hint="eastAsia"/>
                <w:sz w:val="24"/>
              </w:rPr>
              <w:t>Date</w:t>
            </w:r>
          </w:p>
        </w:tc>
        <w:tc>
          <w:tcPr>
            <w:tcW w:w="1704" w:type="dxa"/>
            <w:tcBorders>
              <w:top w:val="single" w:color="auto" w:sz="4" w:space="0"/>
              <w:left w:val="single" w:color="auto" w:sz="4" w:space="0"/>
              <w:bottom w:val="single" w:color="auto" w:sz="4" w:space="0"/>
              <w:right w:val="single" w:color="auto" w:sz="4" w:space="0"/>
            </w:tcBorders>
            <w:vAlign w:val="center"/>
          </w:tcPr>
          <w:p w14:paraId="720F4F0C">
            <w:pPr>
              <w:jc w:val="both"/>
              <w:rPr>
                <w:rFonts w:hint="default"/>
                <w:sz w:val="24"/>
                <w:lang w:val="en-US"/>
              </w:rPr>
            </w:pPr>
            <w:r>
              <w:rPr>
                <w:sz w:val="24"/>
              </w:rPr>
              <w:t>Week 2 (July 14 – July 18)</w:t>
            </w:r>
          </w:p>
        </w:tc>
      </w:tr>
      <w:tr w14:paraId="3B6C8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96" w:type="dxa"/>
            <w:tcBorders>
              <w:top w:val="single" w:color="auto" w:sz="4" w:space="0"/>
              <w:left w:val="single" w:color="auto" w:sz="4" w:space="0"/>
              <w:bottom w:val="single" w:color="auto" w:sz="4" w:space="0"/>
              <w:right w:val="single" w:color="auto" w:sz="4" w:space="0"/>
            </w:tcBorders>
            <w:textDirection w:val="tbRlV"/>
          </w:tcPr>
          <w:p w14:paraId="6B064CF5">
            <w:pPr>
              <w:ind w:left="113" w:right="113"/>
              <w:jc w:val="left"/>
              <w:rPr>
                <w:sz w:val="24"/>
              </w:rPr>
            </w:pPr>
            <w:r>
              <w:rPr>
                <w:rFonts w:hint="eastAsia"/>
                <w:sz w:val="24"/>
              </w:rPr>
              <w:t>This Week's Learning Content</w:t>
            </w:r>
          </w:p>
        </w:tc>
        <w:tc>
          <w:tcPr>
            <w:tcW w:w="7335" w:type="dxa"/>
            <w:gridSpan w:val="5"/>
            <w:tcBorders>
              <w:top w:val="single" w:color="auto" w:sz="4" w:space="0"/>
              <w:left w:val="single" w:color="auto" w:sz="4" w:space="0"/>
              <w:bottom w:val="single" w:color="auto" w:sz="4" w:space="0"/>
              <w:right w:val="single" w:color="auto" w:sz="4" w:space="0"/>
            </w:tcBorders>
          </w:tcPr>
          <w:p w14:paraId="69F2680D">
            <w:pPr>
              <w:jc w:val="left"/>
              <w:rPr>
                <w:rFonts w:hint="eastAsia"/>
                <w:bCs/>
                <w:sz w:val="24"/>
              </w:rPr>
            </w:pPr>
            <w:r>
              <w:rPr>
                <w:b/>
                <w:sz w:val="24"/>
              </w:rPr>
              <w:t>Monday:</w:t>
            </w:r>
            <w:r>
              <w:rPr>
                <w:sz w:val="24"/>
              </w:rPr>
              <w:t xml:space="preserve"> </w:t>
            </w:r>
            <w:r>
              <w:rPr>
                <w:sz w:val="24"/>
              </w:rPr>
              <w:t>Build the "Write a Review" form with an interactive star rating in ProductDetail.vue and connect it to POST /api/reviews with the AI analysis trigger.</w:t>
            </w:r>
          </w:p>
          <w:p/>
          <w:p>
            <w:r>
              <w:rPr>
                <w:b/>
                <w:sz w:val="24"/>
              </w:rPr>
              <w:t>Tuesday:</w:t>
            </w:r>
            <w:r>
              <w:rPr>
                <w:sz w:val="24"/>
              </w:rPr>
              <w:t xml:space="preserve"> </w:t>
            </w:r>
            <w:r>
              <w:rPr>
                <w:sz w:val="24"/>
              </w:rPr>
              <w:t>Build the "My Reviews" tab in Orders.vue for reviewing delivered items, with Element Plus form validation and duplicate-review prevention.</w:t>
            </w:r>
          </w:p>
          <w:p/>
          <w:p>
            <w:r>
              <w:rPr>
                <w:b/>
                <w:sz w:val="24"/>
              </w:rPr>
              <w:t>Wednesday:</w:t>
            </w:r>
            <w:r>
              <w:rPr>
                <w:sz w:val="24"/>
              </w:rPr>
              <w:t xml:space="preserve"> </w:t>
            </w:r>
            <w:r>
              <w:rPr>
                <w:sz w:val="24"/>
              </w:rPr>
              <w:t>Build the Seller Dashboard with product CRUD, order management and review-monitoring panels, protected by role-based navigation guards.</w:t>
            </w:r>
          </w:p>
          <w:p/>
          <w:p>
            <w:r>
              <w:rPr>
                <w:b/>
                <w:sz w:val="24"/>
              </w:rPr>
              <w:t>Thursday:</w:t>
            </w:r>
            <w:r>
              <w:rPr>
                <w:sz w:val="24"/>
              </w:rPr>
              <w:t xml:space="preserve"> </w:t>
            </w:r>
            <w:r>
              <w:rPr>
                <w:sz w:val="24"/>
              </w:rPr>
              <w:t>Add pagination to Products.vue and the seller/admin tables (backend page/size parameters + frontend el-pagination), and write the complete README.md.</w:t>
            </w:r>
          </w:p>
          <w:p/>
          <w:p>
            <w:r>
              <w:rPr>
                <w:b/>
                <w:sz w:val="24"/>
              </w:rPr>
              <w:t>Friday:</w:t>
            </w:r>
            <w:r>
              <w:rPr>
                <w:sz w:val="24"/>
              </w:rPr>
              <w:t xml:space="preserve"> </w:t>
            </w:r>
            <w:r>
              <w:rPr>
                <w:sz w:val="24"/>
              </w:rPr>
              <w:t>Write the API documentation (68 endpoints across 13 modules), the database schema documentation (13 tables) and three educational footer pages (How It Works, Trust Score, AI Technology).</w:t>
            </w:r>
          </w:p>
          <w:p/>
        </w:tc>
      </w:tr>
      <w:tr w14:paraId="3E9F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96" w:type="dxa"/>
            <w:tcBorders>
              <w:top w:val="single" w:color="auto" w:sz="4" w:space="0"/>
              <w:left w:val="single" w:color="auto" w:sz="4" w:space="0"/>
              <w:bottom w:val="single" w:color="auto" w:sz="4" w:space="0"/>
              <w:right w:val="single" w:color="auto" w:sz="4" w:space="0"/>
            </w:tcBorders>
            <w:textDirection w:val="tbRlV"/>
          </w:tcPr>
          <w:p w14:paraId="4EB76D1C">
            <w:pPr>
              <w:ind w:left="113" w:right="113"/>
              <w:jc w:val="left"/>
              <w:rPr>
                <w:sz w:val="24"/>
              </w:rPr>
            </w:pPr>
            <w:r>
              <w:rPr>
                <w:rFonts w:hint="eastAsia"/>
                <w:sz w:val="24"/>
              </w:rPr>
              <w:t>This Week's Completed Tasks</w:t>
            </w:r>
          </w:p>
        </w:tc>
        <w:tc>
          <w:tcPr>
            <w:tcW w:w="7335" w:type="dxa"/>
            <w:gridSpan w:val="5"/>
            <w:tcBorders>
              <w:top w:val="single" w:color="auto" w:sz="4" w:space="0"/>
              <w:left w:val="single" w:color="auto" w:sz="4" w:space="0"/>
              <w:bottom w:val="single" w:color="auto" w:sz="4" w:space="0"/>
              <w:right w:val="single" w:color="auto" w:sz="4" w:space="0"/>
            </w:tcBorders>
          </w:tcPr>
          <w:p w14:paraId="13E4520E">
            <w:pPr>
              <w:jc w:val="left"/>
              <w:rPr>
                <w:rFonts w:hint="default"/>
                <w:sz w:val="24"/>
              </w:rPr>
            </w:pPr>
            <w:r>
              <w:rPr>
                <w:b/>
                <w:sz w:val="24"/>
              </w:rPr>
              <w:t>Monday:</w:t>
            </w:r>
            <w:r>
              <w:rPr>
                <w:sz w:val="24"/>
              </w:rPr>
              <w:t xml:space="preserve"> </w:t>
            </w:r>
            <w:r>
              <w:rPr>
                <w:sz w:val="24"/>
              </w:rPr>
              <w:t>Upgraded StarRating.vue to a dual-mode component (display + interactive) by adding an editable prop and v-model support with hover-preview highlighting, keeping it backward-compatible with the four existing read-only usages. Built the review form in ProductDetail.vue with el-form validation (rating 1–5 required, content 10–2000 characters required, optional image URL). On submission via reviewApi.create(), the form resets, ElMessage confirms success and the review list refreshes. The backend POST /api/reviews automatically triggers AI analysis — DeepSeek performs fake-review detection and Kimi performs sentiment analysis — returning sentiment, emotion, fake probability and flagged status, which are displayed on the review card.</w:t>
            </w:r>
          </w:p>
          <w:p/>
          <w:p>
            <w:r>
              <w:rPr>
                <w:b/>
                <w:sz w:val="24"/>
              </w:rPr>
              <w:t>Tuesday:</w:t>
            </w:r>
            <w:r>
              <w:rPr>
                <w:sz w:val="24"/>
              </w:rPr>
              <w:t xml:space="preserve"> </w:t>
            </w:r>
            <w:r>
              <w:rPr>
                <w:sz w:val="24"/>
              </w:rPr>
              <w:t>Added a "My Reviews" tab to Orders.vue using el-tabs, fetching delivered orders via GET /api/orders/my?status=DELIVERED. Each item shows a "Write Review" button that opens an el-dialog with the interactive form pre-populated with productId and orderId. Validation prevents duplicate reviews on the same order item. After submission the button switches to the disabled "Reviewed" state and the list refreshes reactively; toast notifications handle both success and network-failure cases.</w:t>
            </w:r>
          </w:p>
          <w:p/>
          <w:p>
            <w:r>
              <w:rPr>
                <w:b/>
                <w:sz w:val="24"/>
              </w:rPr>
              <w:t>Wednesday:</w:t>
            </w:r>
            <w:r>
              <w:rPr>
                <w:sz w:val="24"/>
              </w:rPr>
              <w:t xml:space="preserve"> </w:t>
            </w:r>
            <w:r>
              <w:rPr>
                <w:sz w:val="24"/>
              </w:rPr>
              <w:t>Created SellerDashboard.vue with three el-tabs behind a meta: { role: 'SELLER' } route guard. Tab 1 — Product Management: el-table CRUD with inline editing, soft-delete confirmation and an "Add Product" dialog with full validation. Tab 2 — Order Management: the seller's orders with status badges and a "Mark as Shipped" action (PENDING → SHIPPED). Tab 3 — Review Monitoring: every review with its AI verdict, with flagged reviews (fake probability ≥ 70%) highlighted in red. The seller identity is extracted from the JWT claims and a "Seller Dashboard" link was added to the App.vue navbar.</w:t>
            </w:r>
          </w:p>
          <w:p/>
          <w:p>
            <w:r>
              <w:rPr>
                <w:b/>
                <w:sz w:val="24"/>
              </w:rPr>
              <w:t>Thursday:</w:t>
            </w:r>
            <w:r>
              <w:rPr>
                <w:sz w:val="24"/>
              </w:rPr>
              <w:t xml:space="preserve"> </w:t>
            </w:r>
            <w:r>
              <w:rPr>
                <w:sz w:val="24"/>
              </w:rPr>
              <w:t>Backend: added @RequestParam page/size to ProductController with a structured { items, total, page, size, totalPages } response, using MyBatis RowBounds for offset pagination. Frontend: rebuilt Products.vue with el-pagination (12/24/48 per page), page buttons and a total-count display, syncing the page state with URL query parameters via vue-router so it survives a refresh; applied the same pagination to the Seller Dashboard tables. Wrote README.md covering the tech stack, project structure, prerequisites (Java 17, Node 18+, MySQL 8.0), .env setup, Docker Compose + manual startup, database overview, API quick reference, architecture diagram and testing instructions.</w:t>
            </w:r>
          </w:p>
          <w:p/>
          <w:p>
            <w:r>
              <w:rPr>
                <w:b/>
                <w:sz w:val="24"/>
              </w:rPr>
              <w:t>Friday:</w:t>
            </w:r>
            <w:r>
              <w:rPr>
                <w:sz w:val="24"/>
              </w:rPr>
              <w:t xml:space="preserve"> </w:t>
            </w:r>
            <w:r>
              <w:rPr>
                <w:sz w:val="24"/>
              </w:rPr>
              <w:t>Created docs/API-Documentation.md covering all 68 endpoints across 13 modules (Auth, User, Product, Category, Cart, Wishlist, Orders, Reviews, AI Analysis, Notifications, Admin, Seller, Health), each documented with HTTP method, URL, auth requirement, parameters and response/error examples. Created docs/Database-Schema.md with the complete DDL, column descriptions, constraints, indexes and ER relationships for all 13 tables — including the newer audit_log, inquiry and inquiry_message tables. Built three footer pages: HowItWorks.vue (the 4-step AI verification pipeline), TrustScore.vue (the explainable 5-factor scoring model: Review Authenticity 30%, Customer Sentiment 30%, Verified Purchases 20%, Review Volume 10% and Rating Consistency 10%) and AITechnology.vue (the multi-model LLM gateway with a provider-comparison table). Added the routes and linked them from the App.vue footer.</w:t>
            </w:r>
          </w:p>
          <w:p/>
        </w:tc>
      </w:tr>
      <w:tr w14:paraId="15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00" w:hRule="atLeast"/>
        </w:trPr>
        <w:tc>
          <w:tcPr>
            <w:tcW w:w="1296" w:type="dxa"/>
            <w:tcBorders>
              <w:top w:val="single" w:color="auto" w:sz="4" w:space="0"/>
              <w:left w:val="single" w:color="auto" w:sz="4" w:space="0"/>
              <w:bottom w:val="single" w:color="auto" w:sz="4" w:space="0"/>
              <w:right w:val="single" w:color="auto" w:sz="4" w:space="0"/>
            </w:tcBorders>
            <w:textDirection w:val="tbRlV"/>
          </w:tcPr>
          <w:p w14:paraId="0368D4F6">
            <w:pPr>
              <w:ind w:left="113" w:right="113"/>
              <w:jc w:val="left"/>
              <w:rPr>
                <w:sz w:val="24"/>
              </w:rPr>
            </w:pPr>
            <w:r>
              <w:rPr>
                <w:rFonts w:hint="eastAsia"/>
                <w:sz w:val="24"/>
              </w:rPr>
              <w:t>Next Week's Plan</w:t>
            </w:r>
          </w:p>
        </w:tc>
        <w:tc>
          <w:tcPr>
            <w:tcW w:w="7335" w:type="dxa"/>
            <w:gridSpan w:val="5"/>
            <w:tcBorders>
              <w:top w:val="single" w:color="auto" w:sz="4" w:space="0"/>
              <w:left w:val="single" w:color="auto" w:sz="4" w:space="0"/>
              <w:bottom w:val="single" w:color="auto" w:sz="4" w:space="0"/>
              <w:right w:val="single" w:color="auto" w:sz="4" w:space="0"/>
            </w:tcBorders>
          </w:tcPr>
          <w:p w14:paraId="03A4D8C9">
            <w:pPr>
              <w:jc w:val="left"/>
              <w:rPr>
                <w:rFonts w:hint="default"/>
                <w:bCs/>
                <w:sz w:val="24"/>
              </w:rPr>
            </w:pPr>
          </w:p>
          <w:bookmarkEnd w:id="0"/>
          <w:p>
            <w:r>
              <w:rPr>
                <w:b/>
                <w:sz w:val="24"/>
              </w:rPr>
              <w:t>Next Week's Work Plan:</w:t>
            </w:r>
          </w:p>
          <w:p>
            <w:r>
              <w:rPr>
                <w:sz w:val="24"/>
              </w:rPr>
              <w:t>Add loading skeletons, error states and empty states for all asynchronous pages; harden the AI pipeline with a provider fallback chain and mock-mode resilience; add the automatic AI analysis scheduler; introduce bilingual i18n (English / 中文) across all pages; complete mobile responsive QA at 375px; and add Gzip compression plus frontend code splitting.</w:t>
            </w:r>
          </w:p>
          <w:p/>
          <w:p>
            <w:r>
              <w:rPr>
                <w:b/>
                <w:sz w:val="24"/>
              </w:rPr>
              <w:t xml:space="preserve">Next Week's Study Plan: </w:t>
            </w:r>
          </w:p>
          <w:p>
            <w:r>
              <w:rPr>
                <w:sz w:val="24"/>
              </w:rPr>
              <w:t>Learn Vue 3 lazy-loaded routes and async component patterns; study in-memory / database caching strategies for AI responses; explore Spring Boot response compression and safe public-endpoint conventions; and improve CSS responsive-design and frontend performance-optimization skills (code splitting, tree shaking).</w:t>
            </w:r>
          </w:p>
          <w:p/>
          <w:p/>
        </w:tc>
      </w:tr>
      <w:tr w14:paraId="03BC8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08" w:hRule="atLeast"/>
        </w:trPr>
        <w:tc>
          <w:tcPr>
            <w:tcW w:w="1296" w:type="dxa"/>
            <w:tcBorders>
              <w:top w:val="single" w:color="auto" w:sz="4" w:space="0"/>
              <w:left w:val="single" w:color="auto" w:sz="4" w:space="0"/>
              <w:bottom w:val="single" w:color="auto" w:sz="4" w:space="0"/>
              <w:right w:val="single" w:color="auto" w:sz="4" w:space="0"/>
            </w:tcBorders>
            <w:textDirection w:val="tbRlV"/>
          </w:tcPr>
          <w:p w14:paraId="7DF1F85C">
            <w:pPr>
              <w:ind w:left="113" w:right="113"/>
              <w:jc w:val="left"/>
              <w:rPr>
                <w:sz w:val="24"/>
              </w:rPr>
            </w:pPr>
            <w:r>
              <w:rPr>
                <w:rFonts w:hint="eastAsia"/>
                <w:sz w:val="24"/>
              </w:rPr>
              <w:t>Reflections</w:t>
            </w:r>
          </w:p>
        </w:tc>
        <w:tc>
          <w:tcPr>
            <w:tcW w:w="7335" w:type="dxa"/>
            <w:gridSpan w:val="5"/>
            <w:tcBorders>
              <w:top w:val="single" w:color="auto" w:sz="4" w:space="0"/>
              <w:left w:val="single" w:color="auto" w:sz="4" w:space="0"/>
              <w:bottom w:val="single" w:color="auto" w:sz="4" w:space="0"/>
              <w:right w:val="single" w:color="auto" w:sz="4" w:space="0"/>
            </w:tcBorders>
          </w:tcPr>
          <w:p w14:paraId="7AE28713">
            <w:pPr>
              <w:jc w:val="left"/>
              <w:rPr>
                <w:rFonts w:hint="eastAsia"/>
                <w:color w:val="333333"/>
                <w:sz w:val="24"/>
              </w:rPr>
            </w:pPr>
            <w:r>
              <w:rPr>
                <w:b/>
                <w:sz w:val="24"/>
              </w:rPr>
              <w:t xml:space="preserve">Summary: </w:t>
            </w:r>
            <w:r>
              <w:rPr>
                <w:sz w:val="24"/>
              </w:rPr>
              <w:t>Completed the Week 2 feature-development and documentation phase. Built the complete review-submission flow with an upgraded dual-mode StarRating component (display + v-model input) integrated into ProductDetail.vue and Orders.vue. Constructed a full Seller Dashboard with product CRUD, order management and AI-powered review monitoring behind role-based route guards. Implemented end-to-end pagination with backend MyBatis RowBounds and frontend el-pagination synchronised with URL query parameters. Authored three documentation deliverables: a 68-endpoint API reference, a 13-table database schema with ER relationships, and a professional README with an architecture overview and quick-start guides. Built three educational footer pages explaining the AI trust-verification pipeline.</w:t>
            </w:r>
          </w:p>
          <w:p/>
          <w:p>
            <w:r>
              <w:rPr>
                <w:b/>
                <w:sz w:val="24"/>
              </w:rPr>
              <w:t xml:space="preserve">Key Points: </w:t>
            </w:r>
            <w:r>
              <w:rPr>
                <w:sz w:val="24"/>
              </w:rPr>
              <w:t>Built a dual-mode StarRating component (read-only + interactive v-model) with backward-compatible defaults, reused across the ProductDetail review form and the Orders "My Reviews" dialog. Created the Seller Dashboard with 3 tabs (Product CRUD, Order Management, Review Monitoring) protected by Vue Router guards and backend @PreAuthorize role checks. Implemented full-stack pagination: backend page/size parameters with MyBatis RowBounds and frontend el-pagination with URL-query synchronisation. Documented the modernised Trust Score model — five weighted factors: Review Authenticity 30%, Customer Sentiment 30%, Verified Purchases 20%, Review Volume 10% and Rating Consistency 10% — surfaced through the TrustScoreExplainer component and the /trust-score page. Authored API docs (68 endpoints × 13 modules), DB schema docs (13 tables with ER relationships) and a polished README with an architecture diagram. Built 3 footer pages (How It Works, Trust Score, AI Technology) with CSS diagrams and provider-comparison tables.</w:t>
            </w:r>
          </w:p>
          <w:p/>
          <w:p>
            <w:r>
              <w:rPr>
                <w:b/>
                <w:sz w:val="24"/>
              </w:rPr>
              <w:t xml:space="preserve">Difficulties: </w:t>
            </w:r>
            <w:r>
              <w:rPr>
                <w:sz w:val="24"/>
              </w:rPr>
              <w:t>Making StarRating work in both modes without breaking the four existing usages — solved with optional editable/modelValue props with safe defaults. Coordinating role-based access across the Vue Router guard, the Axios interceptor and @PreAuthorize — standardised the "SELLER" role string across all layers after debugging mismatches. Syncing pagination with URL query parameters while resetting to page 1 on a filter change — used a reactive watch + router.replace() to avoid polluting the browser history.</w:t>
            </w:r>
          </w:p>
        </w:tc>
      </w:tr>
      <w:tr w14:paraId="0B13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1296" w:type="dxa"/>
            <w:tcBorders>
              <w:top w:val="single" w:color="auto" w:sz="4" w:space="0"/>
              <w:left w:val="single" w:color="auto" w:sz="4" w:space="0"/>
              <w:bottom w:val="single" w:color="auto" w:sz="4" w:space="0"/>
              <w:right w:val="single" w:color="auto" w:sz="4" w:space="0"/>
            </w:tcBorders>
            <w:vAlign w:val="center"/>
          </w:tcPr>
          <w:p w14:paraId="734B431B">
            <w:pPr>
              <w:ind w:left="113" w:right="113"/>
              <w:jc w:val="left"/>
              <w:rPr>
                <w:sz w:val="24"/>
              </w:rPr>
            </w:pPr>
            <w:r>
              <w:rPr>
                <w:rFonts w:hint="eastAsia"/>
                <w:sz w:val="24"/>
              </w:rPr>
              <w:t>Remarks</w:t>
            </w:r>
          </w:p>
        </w:tc>
        <w:tc>
          <w:tcPr>
            <w:tcW w:w="7335" w:type="dxa"/>
            <w:gridSpan w:val="5"/>
            <w:tcBorders>
              <w:top w:val="single" w:color="auto" w:sz="4" w:space="0"/>
              <w:left w:val="single" w:color="auto" w:sz="4" w:space="0"/>
              <w:bottom w:val="single" w:color="auto" w:sz="4" w:space="0"/>
              <w:right w:val="single" w:color="auto" w:sz="4" w:space="0"/>
            </w:tcBorders>
          </w:tcPr>
          <w:p w14:paraId="472BD8D7">
            <w:pPr>
              <w:jc w:val="left"/>
              <w:rPr>
                <w:rFonts w:hint="default"/>
                <w:sz w:val="24"/>
              </w:rPr>
            </w:pPr>
            <w:r>
              <w:rPr>
                <w:sz w:val="24"/>
              </w:rPr>
              <w:t>All Week 2 deliverables are complete — the platform now supports the full buyer-to-seller journey and the documentation package is ready for teacher review. On track for Week 3: UI polish, AI resilience, bilingual i18n, performance optimisation and mobile responsiveness.</w:t>
            </w:r>
          </w:p>
          <w:p/>
        </w:tc>
      </w:tr>
    </w:tbl>
    <w:p w14:paraId="14C7A3E5">
      <w:pPr>
        <w:jc w:val="left"/>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E5286">
    <w:r>
      <w:drawing>
        <wp:anchor distT="0" distB="0" distL="114300" distR="114300" simplePos="0" relativeHeight="251659264" behindDoc="0" locked="0" layoutInCell="1" allowOverlap="1">
          <wp:simplePos x="0" y="0"/>
          <wp:positionH relativeFrom="column">
            <wp:posOffset>3175</wp:posOffset>
          </wp:positionH>
          <wp:positionV relativeFrom="paragraph">
            <wp:posOffset>-266700</wp:posOffset>
          </wp:positionV>
          <wp:extent cx="1943735" cy="495300"/>
          <wp:effectExtent l="0" t="0" r="0" b="0"/>
          <wp:wrapNone/>
          <wp:docPr id="1" name="图片 5" descr="横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横校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43735" cy="49530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410"/>
    <w:rsid w:val="00004753"/>
    <w:rsid w:val="00007383"/>
    <w:rsid w:val="00007393"/>
    <w:rsid w:val="000E55DC"/>
    <w:rsid w:val="000F2107"/>
    <w:rsid w:val="00116CB3"/>
    <w:rsid w:val="00133A24"/>
    <w:rsid w:val="00150960"/>
    <w:rsid w:val="0015687A"/>
    <w:rsid w:val="001A7B70"/>
    <w:rsid w:val="001B51BE"/>
    <w:rsid w:val="001C369E"/>
    <w:rsid w:val="001C5AC8"/>
    <w:rsid w:val="00210910"/>
    <w:rsid w:val="00276135"/>
    <w:rsid w:val="002801E6"/>
    <w:rsid w:val="002E117A"/>
    <w:rsid w:val="0030240B"/>
    <w:rsid w:val="00351AD7"/>
    <w:rsid w:val="00357D9E"/>
    <w:rsid w:val="00374AA6"/>
    <w:rsid w:val="003F763D"/>
    <w:rsid w:val="00400442"/>
    <w:rsid w:val="0043309C"/>
    <w:rsid w:val="00493F6C"/>
    <w:rsid w:val="00642292"/>
    <w:rsid w:val="006C467F"/>
    <w:rsid w:val="00725906"/>
    <w:rsid w:val="00731048"/>
    <w:rsid w:val="00793346"/>
    <w:rsid w:val="008375E1"/>
    <w:rsid w:val="008C3AE4"/>
    <w:rsid w:val="008E71AE"/>
    <w:rsid w:val="009453C7"/>
    <w:rsid w:val="0097041C"/>
    <w:rsid w:val="009F5C79"/>
    <w:rsid w:val="00A2540C"/>
    <w:rsid w:val="00A47B7B"/>
    <w:rsid w:val="00B103B9"/>
    <w:rsid w:val="00B208B6"/>
    <w:rsid w:val="00B34988"/>
    <w:rsid w:val="00B87C3F"/>
    <w:rsid w:val="00B93E30"/>
    <w:rsid w:val="00C46098"/>
    <w:rsid w:val="00CA4410"/>
    <w:rsid w:val="00CF686B"/>
    <w:rsid w:val="00D33253"/>
    <w:rsid w:val="00D409E6"/>
    <w:rsid w:val="00D57B8E"/>
    <w:rsid w:val="00DA2211"/>
    <w:rsid w:val="00DF6FF3"/>
    <w:rsid w:val="00EA7CF7"/>
    <w:rsid w:val="00ED388B"/>
    <w:rsid w:val="00F03B12"/>
    <w:rsid w:val="00F23BB7"/>
    <w:rsid w:val="00F453A4"/>
    <w:rsid w:val="00FA65A2"/>
    <w:rsid w:val="213E1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iPriority w:val="0"/>
    <w:pPr>
      <w:tabs>
        <w:tab w:val="center" w:pos="4153"/>
        <w:tab w:val="right" w:pos="8306"/>
      </w:tabs>
      <w:snapToGrid w:val="0"/>
      <w:jc w:val="left"/>
    </w:pPr>
    <w:rPr>
      <w:sz w:val="18"/>
      <w:szCs w:val="18"/>
    </w:rPr>
  </w:style>
  <w:style w:type="paragraph" w:styleId="5">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link w:val="5"/>
    <w:uiPriority w:val="0"/>
    <w:rPr>
      <w:kern w:val="2"/>
      <w:sz w:val="18"/>
      <w:szCs w:val="18"/>
    </w:rPr>
  </w:style>
  <w:style w:type="character" w:customStyle="1" w:styleId="7">
    <w:name w:val="页脚 字符"/>
    <w:link w:val="4"/>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Toshiba</Company>
  <Pages>4</Pages>
  <Words>90</Words>
  <Characters>656</Characters>
  <Lines>2</Lines>
  <Paragraphs>1</Paragraphs>
  <TotalTime>3</TotalTime>
  <ScaleCrop>false</ScaleCrop>
  <LinksUpToDate>false</LinksUpToDate>
  <CharactersWithSpaces>733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2018-06-28T02:52:00Z</dcterms:created>
  <dc:creator>孙帮辉</dc:creator>
  <cp:lastModifiedBy>Paradox</cp:lastModifiedBy>
  <dcterms:modified xsi:type="dcterms:W3CDTF">2026-07-06T15:09:50Z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eyJoZGlkIjoiZjQ2N2Q3YWJjZTk4OTcwMTI5N2NjZTc1OTM1YTljMTcifQ==</vt:lpwstr>
  </property>
  <property fmtid="{D5CDD505-2E9C-101B-9397-08002B2CF9AE}" pid="3" name="KSOProductBuildVer">
    <vt:lpwstr>1033-12.1.0.26372</vt:lpwstr>
  </property>
  <property fmtid="{D5CDD505-2E9C-101B-9397-08002B2CF9AE}" pid="4" name="ICV">
    <vt:lpwstr>57734570692D423E862A1B4AEF7E0B3C_13</vt:lpwstr>
  </property>
</Properties>
</file>