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D45DC">
      <w:pPr>
        <w:jc w:val="center"/>
        <w:rPr>
          <w:b/>
          <w:bCs/>
          <w:sz w:val="32"/>
          <w:szCs w:val="32"/>
        </w:rPr>
      </w:pPr>
      <w:r>
        <w:rPr>
          <w:rFonts w:hint="eastAsia"/>
          <w:b/>
          <w:bCs/>
          <w:sz w:val="32"/>
          <w:szCs w:val="32"/>
        </w:rPr>
        <w:t>202</w:t>
      </w:r>
      <w:r>
        <w:rPr>
          <w:rFonts w:hint="default"/>
          <w:b/>
          <w:bCs/>
          <w:sz w:val="32"/>
          <w:szCs w:val="32"/>
          <w:lang w:val="en-US"/>
        </w:rPr>
        <w:t>5</w:t>
      </w:r>
      <w:r>
        <w:rPr>
          <w:rFonts w:hint="eastAsia"/>
          <w:b/>
          <w:bCs/>
          <w:sz w:val="32"/>
          <w:szCs w:val="32"/>
        </w:rPr>
        <w:t>~202</w:t>
      </w:r>
      <w:r>
        <w:rPr>
          <w:rFonts w:hint="default"/>
          <w:b/>
          <w:bCs/>
          <w:sz w:val="32"/>
          <w:szCs w:val="32"/>
          <w:lang w:val="en-US"/>
        </w:rPr>
        <w:t>6</w:t>
      </w:r>
      <w:r>
        <w:rPr>
          <w:rFonts w:hint="eastAsia"/>
          <w:b/>
          <w:bCs/>
          <w:sz w:val="32"/>
          <w:szCs w:val="32"/>
        </w:rPr>
        <w:t xml:space="preserve"> Academic Year, </w:t>
      </w:r>
      <w:r>
        <w:rPr>
          <w:rFonts w:hint="default"/>
          <w:b/>
          <w:bCs/>
          <w:sz w:val="32"/>
          <w:szCs w:val="32"/>
          <w:lang w:val="en-US"/>
        </w:rPr>
        <w:t xml:space="preserve">Mini </w:t>
      </w:r>
      <w:r>
        <w:rPr>
          <w:rFonts w:hint="eastAsia"/>
          <w:b/>
          <w:bCs/>
          <w:sz w:val="32"/>
          <w:szCs w:val="32"/>
        </w:rPr>
        <w:t xml:space="preserve">Semester </w:t>
      </w:r>
    </w:p>
    <w:p w14:paraId="485DDE91">
      <w:pPr>
        <w:jc w:val="center"/>
        <w:rPr>
          <w:b/>
          <w:bCs/>
          <w:sz w:val="44"/>
        </w:rPr>
      </w:pPr>
      <w:r>
        <w:rPr>
          <w:rFonts w:hint="eastAsia"/>
          <w:b/>
          <w:bCs/>
          <w:sz w:val="44"/>
        </w:rPr>
        <w:t>Practical Training / Internship Weekly Report</w:t>
      </w:r>
    </w:p>
    <w:p w14:paraId="54302BC1">
      <w:pPr>
        <w:jc w:val="right"/>
        <w:rPr>
          <w:sz w:val="24"/>
        </w:rPr>
      </w:pPr>
      <w:r>
        <w:rPr>
          <w:sz w:val="24"/>
        </w:rPr>
        <w:t xml:space="preserve">                     </w:t>
      </w:r>
    </w:p>
    <w:tbl>
      <w:tblPr>
        <w:tblStyle w:val="3"/>
        <w:tblW w:w="86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328"/>
        <w:gridCol w:w="957"/>
        <w:gridCol w:w="2296"/>
        <w:gridCol w:w="1050"/>
        <w:gridCol w:w="1704"/>
      </w:tblGrid>
      <w:tr w14:paraId="4A2FF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1296" w:type="dxa"/>
            <w:tcBorders>
              <w:top w:val="single" w:color="auto" w:sz="4" w:space="0"/>
              <w:left w:val="single" w:color="auto" w:sz="4" w:space="0"/>
              <w:bottom w:val="single" w:color="auto" w:sz="4" w:space="0"/>
              <w:right w:val="single" w:color="auto" w:sz="4" w:space="0"/>
            </w:tcBorders>
            <w:vAlign w:val="center"/>
          </w:tcPr>
          <w:p w14:paraId="570B651A">
            <w:pPr>
              <w:jc w:val="center"/>
              <w:rPr>
                <w:sz w:val="24"/>
              </w:rPr>
            </w:pPr>
            <w:r>
              <w:rPr>
                <w:rFonts w:hint="eastAsia"/>
                <w:sz w:val="24"/>
              </w:rPr>
              <w:t>Name</w:t>
            </w:r>
          </w:p>
        </w:tc>
        <w:tc>
          <w:tcPr>
            <w:tcW w:w="1328" w:type="dxa"/>
            <w:tcBorders>
              <w:top w:val="single" w:color="auto" w:sz="4" w:space="0"/>
              <w:left w:val="single" w:color="auto" w:sz="4" w:space="0"/>
              <w:bottom w:val="single" w:color="auto" w:sz="4" w:space="0"/>
              <w:right w:val="single" w:color="auto" w:sz="4" w:space="0"/>
            </w:tcBorders>
            <w:vAlign w:val="center"/>
          </w:tcPr>
          <w:p w14:paraId="6B32760D">
            <w:pPr>
              <w:jc w:val="center"/>
              <w:rPr>
                <w:rFonts w:hint="default"/>
                <w:sz w:val="24"/>
                <w:lang w:val="en-US"/>
              </w:rPr>
            </w:pPr>
            <w:r>
              <w:rPr>
                <w:rFonts w:hint="default"/>
                <w:sz w:val="24"/>
                <w:lang w:val="en-US"/>
              </w:rPr>
              <w:t>Islam Md Simul</w:t>
            </w:r>
          </w:p>
        </w:tc>
        <w:tc>
          <w:tcPr>
            <w:tcW w:w="957" w:type="dxa"/>
            <w:tcBorders>
              <w:top w:val="single" w:color="auto" w:sz="4" w:space="0"/>
              <w:left w:val="single" w:color="auto" w:sz="4" w:space="0"/>
              <w:bottom w:val="single" w:color="auto" w:sz="4" w:space="0"/>
              <w:right w:val="single" w:color="auto" w:sz="4" w:space="0"/>
            </w:tcBorders>
            <w:vAlign w:val="center"/>
          </w:tcPr>
          <w:p w14:paraId="09E7C83D">
            <w:pPr>
              <w:jc w:val="center"/>
              <w:rPr>
                <w:sz w:val="24"/>
              </w:rPr>
            </w:pPr>
            <w:r>
              <w:rPr>
                <w:rFonts w:hint="eastAsia"/>
                <w:sz w:val="24"/>
              </w:rPr>
              <w:t>Class</w:t>
            </w:r>
          </w:p>
        </w:tc>
        <w:tc>
          <w:tcPr>
            <w:tcW w:w="2296" w:type="dxa"/>
            <w:tcBorders>
              <w:top w:val="single" w:color="auto" w:sz="4" w:space="0"/>
              <w:left w:val="single" w:color="auto" w:sz="4" w:space="0"/>
              <w:bottom w:val="single" w:color="auto" w:sz="4" w:space="0"/>
              <w:right w:val="single" w:color="auto" w:sz="4" w:space="0"/>
            </w:tcBorders>
            <w:vAlign w:val="center"/>
          </w:tcPr>
          <w:p w14:paraId="1BF974D9">
            <w:pPr>
              <w:jc w:val="left"/>
              <w:rPr>
                <w:rFonts w:hint="default"/>
                <w:sz w:val="24"/>
                <w:lang w:val="en-US"/>
              </w:rPr>
            </w:pPr>
            <w:r>
              <w:rPr>
                <w:rFonts w:hint="default"/>
                <w:sz w:val="24"/>
                <w:lang w:val="en-US"/>
              </w:rPr>
              <w:t>Software Engineering 23201</w:t>
            </w:r>
          </w:p>
        </w:tc>
        <w:tc>
          <w:tcPr>
            <w:tcW w:w="1050" w:type="dxa"/>
            <w:tcBorders>
              <w:top w:val="single" w:color="auto" w:sz="4" w:space="0"/>
              <w:left w:val="single" w:color="auto" w:sz="4" w:space="0"/>
              <w:bottom w:val="single" w:color="auto" w:sz="4" w:space="0"/>
              <w:right w:val="single" w:color="auto" w:sz="4" w:space="0"/>
            </w:tcBorders>
            <w:vAlign w:val="center"/>
          </w:tcPr>
          <w:p w14:paraId="4C047482">
            <w:pPr>
              <w:jc w:val="center"/>
              <w:rPr>
                <w:sz w:val="24"/>
              </w:rPr>
            </w:pPr>
            <w:r>
              <w:rPr>
                <w:rFonts w:hint="eastAsia"/>
                <w:sz w:val="24"/>
              </w:rPr>
              <w:t>Student ID</w:t>
            </w:r>
          </w:p>
        </w:tc>
        <w:tc>
          <w:tcPr>
            <w:tcW w:w="1704" w:type="dxa"/>
            <w:tcBorders>
              <w:top w:val="single" w:color="auto" w:sz="4" w:space="0"/>
              <w:left w:val="single" w:color="auto" w:sz="4" w:space="0"/>
              <w:bottom w:val="single" w:color="auto" w:sz="4" w:space="0"/>
              <w:right w:val="single" w:color="auto" w:sz="4" w:space="0"/>
            </w:tcBorders>
            <w:vAlign w:val="center"/>
          </w:tcPr>
          <w:p w14:paraId="61F68A99">
            <w:pPr>
              <w:jc w:val="center"/>
              <w:rPr>
                <w:rFonts w:hint="default"/>
                <w:sz w:val="24"/>
                <w:lang w:val="en-US"/>
              </w:rPr>
            </w:pPr>
            <w:r>
              <w:rPr>
                <w:rFonts w:hint="default"/>
                <w:sz w:val="24"/>
                <w:lang w:val="en-US"/>
              </w:rPr>
              <w:t>23320120006</w:t>
            </w:r>
          </w:p>
        </w:tc>
      </w:tr>
      <w:tr w14:paraId="76124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1296" w:type="dxa"/>
            <w:tcBorders>
              <w:top w:val="single" w:color="auto" w:sz="4" w:space="0"/>
              <w:left w:val="single" w:color="auto" w:sz="4" w:space="0"/>
              <w:bottom w:val="single" w:color="auto" w:sz="4" w:space="0"/>
              <w:right w:val="single" w:color="auto" w:sz="4" w:space="0"/>
            </w:tcBorders>
            <w:vAlign w:val="center"/>
          </w:tcPr>
          <w:p w14:paraId="3EDEE459">
            <w:pPr>
              <w:jc w:val="center"/>
              <w:rPr>
                <w:sz w:val="24"/>
              </w:rPr>
            </w:pPr>
            <w:r>
              <w:rPr>
                <w:rFonts w:hint="eastAsia"/>
                <w:sz w:val="24"/>
              </w:rPr>
              <w:t>Project</w:t>
            </w:r>
          </w:p>
          <w:p w14:paraId="20504A29">
            <w:pPr>
              <w:jc w:val="center"/>
              <w:rPr>
                <w:sz w:val="24"/>
              </w:rPr>
            </w:pPr>
            <w:r>
              <w:rPr>
                <w:rFonts w:hint="eastAsia"/>
                <w:sz w:val="24"/>
              </w:rPr>
              <w:t>Name</w:t>
            </w:r>
          </w:p>
        </w:tc>
        <w:tc>
          <w:tcPr>
            <w:tcW w:w="7335" w:type="dxa"/>
            <w:gridSpan w:val="5"/>
            <w:tcBorders>
              <w:top w:val="single" w:color="auto" w:sz="4" w:space="0"/>
              <w:left w:val="single" w:color="auto" w:sz="4" w:space="0"/>
              <w:bottom w:val="single" w:color="auto" w:sz="4" w:space="0"/>
              <w:right w:val="single" w:color="auto" w:sz="4" w:space="0"/>
            </w:tcBorders>
            <w:vAlign w:val="center"/>
          </w:tcPr>
          <w:p w14:paraId="26967BA6">
            <w:pPr>
              <w:jc w:val="center"/>
              <w:rPr>
                <w:sz w:val="24"/>
              </w:rPr>
            </w:pPr>
            <w:r>
              <w:rPr>
                <w:sz w:val="24"/>
              </w:rPr>
              <w:t>VeriCart AI: An Intelligent Multi-LLM E-Commerce Platform for Trustworthy Online Shopping</w:t>
            </w:r>
          </w:p>
          <w:p>
            <w:r>
              <w:rPr>
                <w:sz w:val="24"/>
              </w:rPr>
              <w:t>Team Name: Algorists   |   Project Type: Team Project   |   My Role: Team Leader</w:t>
            </w:r>
          </w:p>
        </w:tc>
      </w:tr>
      <w:tr w14:paraId="50586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1296" w:type="dxa"/>
            <w:tcBorders>
              <w:top w:val="single" w:color="auto" w:sz="4" w:space="0"/>
              <w:left w:val="single" w:color="auto" w:sz="4" w:space="0"/>
              <w:bottom w:val="single" w:color="auto" w:sz="4" w:space="0"/>
              <w:right w:val="single" w:color="auto" w:sz="4" w:space="0"/>
            </w:tcBorders>
            <w:vAlign w:val="center"/>
          </w:tcPr>
          <w:p w14:paraId="0CB9A78F">
            <w:pPr>
              <w:jc w:val="center"/>
              <w:rPr>
                <w:sz w:val="24"/>
              </w:rPr>
            </w:pPr>
            <w:r>
              <w:rPr>
                <w:rFonts w:hint="eastAsia"/>
                <w:sz w:val="24"/>
              </w:rPr>
              <w:t>Supervisor</w:t>
            </w:r>
          </w:p>
          <w:p w14:paraId="67573061">
            <w:pPr>
              <w:jc w:val="center"/>
              <w:rPr>
                <w:sz w:val="24"/>
              </w:rPr>
            </w:pPr>
          </w:p>
        </w:tc>
        <w:tc>
          <w:tcPr>
            <w:tcW w:w="4581" w:type="dxa"/>
            <w:gridSpan w:val="3"/>
            <w:tcBorders>
              <w:top w:val="single" w:color="auto" w:sz="4" w:space="0"/>
              <w:left w:val="single" w:color="auto" w:sz="4" w:space="0"/>
              <w:bottom w:val="single" w:color="auto" w:sz="4" w:space="0"/>
              <w:right w:val="single" w:color="auto" w:sz="4" w:space="0"/>
            </w:tcBorders>
            <w:vAlign w:val="center"/>
          </w:tcPr>
          <w:p w14:paraId="16E7D8ED">
            <w:pPr>
              <w:jc w:val="center"/>
              <w:rPr>
                <w:sz w:val="24"/>
              </w:rPr>
            </w:pPr>
            <w:r>
              <w:rPr>
                <w:rFonts w:hint="default"/>
                <w:sz w:val="24"/>
                <w:lang w:val="en-US"/>
              </w:rPr>
              <w:t xml:space="preserve">Teacher </w:t>
            </w:r>
            <w:r>
              <w:rPr>
                <w:rFonts w:hint="default"/>
                <w:sz w:val="24"/>
              </w:rPr>
              <w:t>Long JiaYue</w:t>
            </w:r>
          </w:p>
        </w:tc>
        <w:tc>
          <w:tcPr>
            <w:tcW w:w="1050" w:type="dxa"/>
            <w:tcBorders>
              <w:top w:val="single" w:color="auto" w:sz="4" w:space="0"/>
              <w:left w:val="single" w:color="auto" w:sz="4" w:space="0"/>
              <w:bottom w:val="single" w:color="auto" w:sz="4" w:space="0"/>
              <w:right w:val="single" w:color="auto" w:sz="4" w:space="0"/>
            </w:tcBorders>
            <w:vAlign w:val="center"/>
          </w:tcPr>
          <w:p w14:paraId="5779ADD9">
            <w:pPr>
              <w:jc w:val="center"/>
              <w:rPr>
                <w:sz w:val="24"/>
              </w:rPr>
            </w:pPr>
            <w:r>
              <w:rPr>
                <w:rFonts w:hint="eastAsia"/>
                <w:sz w:val="24"/>
              </w:rPr>
              <w:t>Date</w:t>
            </w:r>
          </w:p>
        </w:tc>
        <w:tc>
          <w:tcPr>
            <w:tcW w:w="1704" w:type="dxa"/>
            <w:tcBorders>
              <w:top w:val="single" w:color="auto" w:sz="4" w:space="0"/>
              <w:left w:val="single" w:color="auto" w:sz="4" w:space="0"/>
              <w:bottom w:val="single" w:color="auto" w:sz="4" w:space="0"/>
              <w:right w:val="single" w:color="auto" w:sz="4" w:space="0"/>
            </w:tcBorders>
            <w:vAlign w:val="center"/>
          </w:tcPr>
          <w:p w14:paraId="720F4F0C">
            <w:pPr>
              <w:jc w:val="both"/>
              <w:rPr>
                <w:rFonts w:hint="default"/>
                <w:sz w:val="24"/>
                <w:lang w:val="en-US"/>
              </w:rPr>
            </w:pPr>
            <w:r>
              <w:rPr>
                <w:sz w:val="24"/>
              </w:rPr>
              <w:t>Week 4 (July 28 – August 1)</w:t>
            </w:r>
          </w:p>
        </w:tc>
      </w:tr>
      <w:tr w14:paraId="3B6C8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96" w:type="dxa"/>
            <w:tcBorders>
              <w:top w:val="single" w:color="auto" w:sz="4" w:space="0"/>
              <w:left w:val="single" w:color="auto" w:sz="4" w:space="0"/>
              <w:bottom w:val="single" w:color="auto" w:sz="4" w:space="0"/>
              <w:right w:val="single" w:color="auto" w:sz="4" w:space="0"/>
            </w:tcBorders>
            <w:textDirection w:val="tbRlV"/>
          </w:tcPr>
          <w:p w14:paraId="6B064CF5">
            <w:pPr>
              <w:ind w:left="113" w:right="113"/>
              <w:jc w:val="left"/>
              <w:rPr>
                <w:sz w:val="24"/>
              </w:rPr>
            </w:pPr>
            <w:r>
              <w:rPr>
                <w:rFonts w:hint="eastAsia"/>
                <w:sz w:val="24"/>
              </w:rPr>
              <w:t>This Week's Learning Content</w:t>
            </w:r>
          </w:p>
        </w:tc>
        <w:tc>
          <w:tcPr>
            <w:tcW w:w="7335" w:type="dxa"/>
            <w:gridSpan w:val="5"/>
            <w:tcBorders>
              <w:top w:val="single" w:color="auto" w:sz="4" w:space="0"/>
              <w:left w:val="single" w:color="auto" w:sz="4" w:space="0"/>
              <w:bottom w:val="single" w:color="auto" w:sz="4" w:space="0"/>
              <w:right w:val="single" w:color="auto" w:sz="4" w:space="0"/>
            </w:tcBorders>
          </w:tcPr>
          <w:p w14:paraId="69F2680D">
            <w:pPr>
              <w:jc w:val="left"/>
              <w:rPr>
                <w:rFonts w:hint="eastAsia"/>
                <w:bCs/>
                <w:sz w:val="24"/>
              </w:rPr>
            </w:pPr>
            <w:r>
              <w:rPr>
                <w:b/>
                <w:sz w:val="24"/>
              </w:rPr>
              <w:t>Monday:</w:t>
            </w:r>
            <w:r>
              <w:rPr>
                <w:sz w:val="24"/>
              </w:rPr>
              <w:t xml:space="preserve"> </w:t>
            </w:r>
            <w:r>
              <w:rPr>
                <w:sz w:val="24"/>
              </w:rPr>
              <w:t>Run end-to-end (E2E) verification of the complete user flows across the buyer, seller and admin roles.</w:t>
            </w:r>
          </w:p>
          <w:p/>
          <w:p>
            <w:r>
              <w:rPr>
                <w:b/>
                <w:sz w:val="24"/>
              </w:rPr>
              <w:t>Tuesday:</w:t>
            </w:r>
            <w:r>
              <w:rPr>
                <w:sz w:val="24"/>
              </w:rPr>
              <w:t xml:space="preserve"> </w:t>
            </w:r>
            <w:r>
              <w:rPr>
                <w:sz w:val="24"/>
              </w:rPr>
              <w:t>Verify the full Docker Compose deployment (MySQL + backend + frontend) with a one-command startup.</w:t>
            </w:r>
          </w:p>
          <w:p/>
          <w:p>
            <w:r>
              <w:rPr>
                <w:b/>
                <w:sz w:val="24"/>
              </w:rPr>
              <w:t>Wednesday:</w:t>
            </w:r>
            <w:r>
              <w:rPr>
                <w:sz w:val="24"/>
              </w:rPr>
              <w:t xml:space="preserve"> </w:t>
            </w:r>
            <w:r>
              <w:rPr>
                <w:sz w:val="24"/>
              </w:rPr>
              <w:t>Performance-test the platform against the NFR targets with ~100 concurrent users.</w:t>
            </w:r>
          </w:p>
          <w:p/>
          <w:p>
            <w:r>
              <w:rPr>
                <w:b/>
                <w:sz w:val="24"/>
              </w:rPr>
              <w:t>Thursday:</w:t>
            </w:r>
            <w:r>
              <w:rPr>
                <w:sz w:val="24"/>
              </w:rPr>
              <w:t xml:space="preserve"> </w:t>
            </w:r>
            <w:r>
              <w:rPr>
                <w:sz w:val="24"/>
              </w:rPr>
              <w:t>Run a security scan (OWASP dependency check, SQL-injection checks) and a bug bash against all 70 functional requirements.</w:t>
            </w:r>
          </w:p>
          <w:p/>
          <w:p>
            <w:r>
              <w:rPr>
                <w:b/>
                <w:sz w:val="24"/>
              </w:rPr>
              <w:t>Friday:</w:t>
            </w:r>
            <w:r>
              <w:rPr>
                <w:sz w:val="24"/>
              </w:rPr>
              <w:t xml:space="preserve"> </w:t>
            </w:r>
            <w:r>
              <w:rPr>
                <w:sz w:val="24"/>
              </w:rPr>
              <w:t>Compile the final project report, the 14-slide presentation deck and the deployment guide.</w:t>
            </w:r>
          </w:p>
          <w:p/>
        </w:tc>
      </w:tr>
      <w:tr w14:paraId="3E9F3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96" w:type="dxa"/>
            <w:tcBorders>
              <w:top w:val="single" w:color="auto" w:sz="4" w:space="0"/>
              <w:left w:val="single" w:color="auto" w:sz="4" w:space="0"/>
              <w:bottom w:val="single" w:color="auto" w:sz="4" w:space="0"/>
              <w:right w:val="single" w:color="auto" w:sz="4" w:space="0"/>
            </w:tcBorders>
            <w:textDirection w:val="tbRlV"/>
          </w:tcPr>
          <w:p w14:paraId="4EB76D1C">
            <w:pPr>
              <w:ind w:left="113" w:right="113"/>
              <w:jc w:val="left"/>
              <w:rPr>
                <w:sz w:val="24"/>
              </w:rPr>
            </w:pPr>
            <w:r>
              <w:rPr>
                <w:rFonts w:hint="eastAsia"/>
                <w:sz w:val="24"/>
              </w:rPr>
              <w:t>This Week's Completed Tasks</w:t>
            </w:r>
          </w:p>
        </w:tc>
        <w:tc>
          <w:tcPr>
            <w:tcW w:w="7335" w:type="dxa"/>
            <w:gridSpan w:val="5"/>
            <w:tcBorders>
              <w:top w:val="single" w:color="auto" w:sz="4" w:space="0"/>
              <w:left w:val="single" w:color="auto" w:sz="4" w:space="0"/>
              <w:bottom w:val="single" w:color="auto" w:sz="4" w:space="0"/>
              <w:right w:val="single" w:color="auto" w:sz="4" w:space="0"/>
            </w:tcBorders>
          </w:tcPr>
          <w:p w14:paraId="13E4520E">
            <w:pPr>
              <w:jc w:val="left"/>
              <w:rPr>
                <w:rFonts w:hint="default"/>
                <w:sz w:val="24"/>
              </w:rPr>
            </w:pPr>
            <w:r>
              <w:rPr>
                <w:b/>
                <w:sz w:val="24"/>
              </w:rPr>
              <w:t>Monday:</w:t>
            </w:r>
            <w:r>
              <w:rPr>
                <w:sz w:val="24"/>
              </w:rPr>
              <w:t xml:space="preserve"> </w:t>
            </w:r>
            <w:r>
              <w:rPr>
                <w:sz w:val="24"/>
              </w:rPr>
              <w:t>Executed end-to-end scenarios for all three roles. Buyer flow: register → log in → browse by category → keyword search → open a product → read AI-verified reviews and the Trusted Rating → add to cart → checkout → place an order → write a review → watch the AI analyse it and update the Trust Score. Seller flow: open the Seller Dashboard → create/edit/soft-delete a product → mark an order as shipped → monitor AI-flagged reviews. Admin flow: manage users, products and categories, and inspect the audit log and the pre-flagged review queue. All flows passed and the AI verdict appeared within seconds of a review being submitted.</w:t>
            </w:r>
          </w:p>
          <w:p/>
          <w:p>
            <w:r>
              <w:rPr>
                <w:b/>
                <w:sz w:val="24"/>
              </w:rPr>
              <w:t>Tuesday:</w:t>
            </w:r>
            <w:r>
              <w:rPr>
                <w:sz w:val="24"/>
              </w:rPr>
              <w:t xml:space="preserve"> </w:t>
            </w:r>
            <w:r>
              <w:rPr>
                <w:sz w:val="24"/>
              </w:rPr>
              <w:t>Verified the Docker Compose deployment end to end. All three services start with one command (docker compose up -d): MySQL 8.0 (port 3306, utf8mb4, 13 tables initialised from the mounted schema, a persistent volume and a health check), the Spring Boot backend (port 8080, starting only after MySQL reports healthy, with the full TokenHub AI configuration passed through the environment) and the frontend (a Vue production build served by Nginx on port 80, proxying /api to the backend). Confirmed the seeded demo data and the deliberately fake reviews load correctly on a clean start.</w:t>
            </w:r>
          </w:p>
          <w:p/>
          <w:p>
            <w:r>
              <w:rPr>
                <w:b/>
                <w:sz w:val="24"/>
              </w:rPr>
              <w:t>Wednesday:</w:t>
            </w:r>
            <w:r>
              <w:rPr>
                <w:sz w:val="24"/>
              </w:rPr>
              <w:t xml:space="preserve"> </w:t>
            </w:r>
            <w:r>
              <w:rPr>
                <w:sz w:val="24"/>
              </w:rPr>
              <w:t>Ran performance tests with a load-testing tool at ~100 concurrent users against the hottest endpoints (product listing, pagination, product detail, review list, trust metrics). The p95 API response time stayed around 420 ms (target &lt; 500 ms) and the first meaningful page load around 1.6 s (target &lt; 2 s). Confirmed that AI analysis, the slowest operation, runs asynchronously through the scheduler and therefore never blocks a user-facing request.</w:t>
            </w:r>
          </w:p>
          <w:p/>
          <w:p>
            <w:r>
              <w:rPr>
                <w:b/>
                <w:sz w:val="24"/>
              </w:rPr>
              <w:t>Thursday:</w:t>
            </w:r>
            <w:r>
              <w:rPr>
                <w:sz w:val="24"/>
              </w:rPr>
              <w:t xml:space="preserve"> </w:t>
            </w:r>
            <w:r>
              <w:rPr>
                <w:sz w:val="24"/>
              </w:rPr>
              <w:t>Ran a security scan — an OWASP dependency check across the Maven and npm dependencies and SQL-injection probes. Confirmed that all database access goes through MyBatis parameter bindings (#{...}) rather than string concatenation, that passwords are BCrypt-hashed, that every protected route enforces JWT + role checks (@PreAuthorize) and that no secret is present in the repository (all keys are environment variables). Then ran a bug bash against all 70 functional requirements; the few issues found (minor validation messages and a responsive edge case) were fixed the same day.</w:t>
            </w:r>
          </w:p>
          <w:p/>
          <w:p>
            <w:r>
              <w:rPr>
                <w:b/>
                <w:sz w:val="24"/>
              </w:rPr>
              <w:t>Friday:</w:t>
            </w:r>
            <w:r>
              <w:rPr>
                <w:sz w:val="24"/>
              </w:rPr>
              <w:t xml:space="preserve"> </w:t>
            </w:r>
            <w:r>
              <w:rPr>
                <w:sz w:val="24"/>
              </w:rPr>
              <w:t>Compiled the final deliverables — the final project report, a professional 14-slide overview deck and the deployment guide — and finalised the documentation set: README.md, docs/API-Documentation.md (68 endpoints), docs/Database-Schema.md (13 tables), plus two deep-dive documents added at the end, docs/trustscore.md (how the Trust Score is computed) and docs/work.md (how DeepSeek, Kimi, Hunyuan, Docker and the database work together). Rehearsed and delivered the project presentation.</w:t>
            </w:r>
          </w:p>
          <w:p/>
        </w:tc>
      </w:tr>
      <w:tr w14:paraId="15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00" w:hRule="atLeast"/>
        </w:trPr>
        <w:tc>
          <w:tcPr>
            <w:tcW w:w="1296" w:type="dxa"/>
            <w:tcBorders>
              <w:top w:val="single" w:color="auto" w:sz="4" w:space="0"/>
              <w:left w:val="single" w:color="auto" w:sz="4" w:space="0"/>
              <w:bottom w:val="single" w:color="auto" w:sz="4" w:space="0"/>
              <w:right w:val="single" w:color="auto" w:sz="4" w:space="0"/>
            </w:tcBorders>
            <w:textDirection w:val="tbRlV"/>
          </w:tcPr>
          <w:p w14:paraId="0368D4F6">
            <w:pPr>
              <w:ind w:left="113" w:right="113"/>
              <w:jc w:val="left"/>
              <w:rPr>
                <w:sz w:val="24"/>
              </w:rPr>
            </w:pPr>
            <w:r>
              <w:rPr>
                <w:rFonts w:hint="eastAsia"/>
                <w:sz w:val="24"/>
              </w:rPr>
              <w:t>Next Week's Plan</w:t>
            </w:r>
          </w:p>
        </w:tc>
        <w:tc>
          <w:tcPr>
            <w:tcW w:w="7335" w:type="dxa"/>
            <w:gridSpan w:val="5"/>
            <w:tcBorders>
              <w:top w:val="single" w:color="auto" w:sz="4" w:space="0"/>
              <w:left w:val="single" w:color="auto" w:sz="4" w:space="0"/>
              <w:bottom w:val="single" w:color="auto" w:sz="4" w:space="0"/>
              <w:right w:val="single" w:color="auto" w:sz="4" w:space="0"/>
            </w:tcBorders>
          </w:tcPr>
          <w:p w14:paraId="03A4D8C9">
            <w:pPr>
              <w:jc w:val="left"/>
              <w:rPr>
                <w:rFonts w:hint="default"/>
                <w:bCs/>
                <w:sz w:val="24"/>
              </w:rPr>
            </w:pPr>
          </w:p>
          <w:bookmarkEnd w:id="0"/>
          <w:p>
            <w:r>
              <w:rPr>
                <w:b/>
                <w:sz w:val="24"/>
              </w:rPr>
              <w:t>Next Week's Work Plan:</w:t>
            </w:r>
          </w:p>
          <w:p>
            <w:r>
              <w:rPr>
                <w:sz w:val="24"/>
              </w:rPr>
              <w:t>Project completed and submitted — no further development weeks are planned. Optional follow-ups identified for future work: a public Trust Score API, a cross-account fraud graph, seller-facing AI improvement nudges and a mobile PWA.</w:t>
            </w:r>
          </w:p>
          <w:p/>
          <w:p>
            <w:r>
              <w:rPr>
                <w:b/>
                <w:sz w:val="24"/>
              </w:rPr>
              <w:t xml:space="preserve">Next Week's Study Plan: </w:t>
            </w:r>
          </w:p>
          <w:p>
            <w:r>
              <w:rPr>
                <w:sz w:val="24"/>
              </w:rPr>
              <w:t>Consolidate the lessons learned (LLM provider integration, fault-tolerant AI design, Docker deployment, full-stack testing); continue studying cloud deployment and observability (structured logging, metrics, tracing); and prepare a portfolio write-up of the project for internships and job applications.</w:t>
            </w:r>
          </w:p>
          <w:p/>
          <w:p/>
        </w:tc>
      </w:tr>
      <w:tr w14:paraId="03BC8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08" w:hRule="atLeast"/>
        </w:trPr>
        <w:tc>
          <w:tcPr>
            <w:tcW w:w="1296" w:type="dxa"/>
            <w:tcBorders>
              <w:top w:val="single" w:color="auto" w:sz="4" w:space="0"/>
              <w:left w:val="single" w:color="auto" w:sz="4" w:space="0"/>
              <w:bottom w:val="single" w:color="auto" w:sz="4" w:space="0"/>
              <w:right w:val="single" w:color="auto" w:sz="4" w:space="0"/>
            </w:tcBorders>
            <w:textDirection w:val="tbRlV"/>
          </w:tcPr>
          <w:p w14:paraId="7DF1F85C">
            <w:pPr>
              <w:ind w:left="113" w:right="113"/>
              <w:jc w:val="left"/>
              <w:rPr>
                <w:sz w:val="24"/>
              </w:rPr>
            </w:pPr>
            <w:r>
              <w:rPr>
                <w:rFonts w:hint="eastAsia"/>
                <w:sz w:val="24"/>
              </w:rPr>
              <w:t>Reflections</w:t>
            </w:r>
          </w:p>
        </w:tc>
        <w:tc>
          <w:tcPr>
            <w:tcW w:w="7335" w:type="dxa"/>
            <w:gridSpan w:val="5"/>
            <w:tcBorders>
              <w:top w:val="single" w:color="auto" w:sz="4" w:space="0"/>
              <w:left w:val="single" w:color="auto" w:sz="4" w:space="0"/>
              <w:bottom w:val="single" w:color="auto" w:sz="4" w:space="0"/>
              <w:right w:val="single" w:color="auto" w:sz="4" w:space="0"/>
            </w:tcBorders>
          </w:tcPr>
          <w:p w14:paraId="7AE28713">
            <w:pPr>
              <w:jc w:val="left"/>
              <w:rPr>
                <w:rFonts w:hint="eastAsia"/>
                <w:color w:val="333333"/>
                <w:sz w:val="24"/>
              </w:rPr>
            </w:pPr>
            <w:r>
              <w:rPr>
                <w:b/>
                <w:sz w:val="24"/>
              </w:rPr>
              <w:t xml:space="preserve">Summary: </w:t>
            </w:r>
            <w:r>
              <w:rPr>
                <w:sz w:val="24"/>
              </w:rPr>
              <w:t>Completed the final week: end-to-end testing of all three user roles, verified one-command Docker Compose deployment, validated performance against the NFR targets, ran a security scan, completed a bug bash against all 70 functional requirements, and compiled the final report, presentation deck and deployment documentation. The project is finished and was successfully presented. This is a team project (Team Algorists) and I served as the team leader — I coordinated the weekly work plan, reviewed my teammates' contributions and integrated the final deliverables.</w:t>
            </w:r>
          </w:p>
          <w:p/>
          <w:p>
            <w:r>
              <w:rPr>
                <w:b/>
                <w:sz w:val="24"/>
              </w:rPr>
              <w:t xml:space="preserve">Key Points: </w:t>
            </w:r>
            <w:r>
              <w:rPr>
                <w:sz w:val="24"/>
              </w:rPr>
              <w:t>Functional-requirement coverage: 70 / 70 across all 10 modules (User Management 7, Product 9, Category 4, Cart 6, Wishlist 4, Order 10, Review 8, AI Analysis 12, Notifications 4, Admin 6). NFR compliance: API p95 ≈ 420 ms (target &lt; 500 ms); page load ≈ 1.6 s (target &lt; 2 s); backend coverage target met with 96 tests across 11 classes; frontend target met with 11 tests across 2 files; ~100 concurrent users verified. Final project statistics: 78 main Java files + 11 test classes; 32 Vue files (22 views + 9 components + App.vue); ~16,800 lines of code (~6,300 Java + ~10,500 Vue); 68 REST endpoints; 13 database tables; 3 integrated AI models (DeepSeek, Kimi, Hunyuan) plus a mock fallback. Delivered the complete platform — catalogue, cart, wishlist, orders, reviews, notifications, seller dashboard, admin dashboard and a bilingual (EN/中文) UI — and the signature explainable Trust Score (Authenticity 30%, Sentiment 30%, Verified Purchases 20%, Review Volume 10%, Rating Consistency 10%) with per-review fake detection, a Trusted Rating that removes flagged reviews, AI comparison, AI recommendations and an AI shopping assistant.</w:t>
            </w:r>
          </w:p>
          <w:p/>
          <w:p>
            <w:r>
              <w:rPr>
                <w:b/>
                <w:sz w:val="24"/>
              </w:rPr>
              <w:t xml:space="preserve">Difficulties: </w:t>
            </w:r>
            <w:r>
              <w:rPr>
                <w:sz w:val="24"/>
              </w:rPr>
              <w:t>Integrating a real multi-provider LLM gateway: the Tencent Cloud TokenHub endpoint is international-only for this key, each model must be activated in the console and each client builds its URL differently — resolved through environment-driven configuration and a mock mode for offline work. Handling LLM latency: chat and analysis calls can exceed a default HTTP timeout, so per-endpoint Axios timeouts were raised and the slowest analysis was moved to the background scheduler. A subtle frontend bug where a floating popup stayed invisible due to a Vue Transition / scoped @keyframes interaction inside a Teleport — resolved by reusing the existing global chat widget instead of a custom one (the single most valuable lesson of the project).</w:t>
            </w:r>
          </w:p>
        </w:tc>
      </w:tr>
      <w:tr w14:paraId="0B13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2" w:hRule="atLeast"/>
        </w:trPr>
        <w:tc>
          <w:tcPr>
            <w:tcW w:w="1296" w:type="dxa"/>
            <w:tcBorders>
              <w:top w:val="single" w:color="auto" w:sz="4" w:space="0"/>
              <w:left w:val="single" w:color="auto" w:sz="4" w:space="0"/>
              <w:bottom w:val="single" w:color="auto" w:sz="4" w:space="0"/>
              <w:right w:val="single" w:color="auto" w:sz="4" w:space="0"/>
            </w:tcBorders>
            <w:vAlign w:val="center"/>
          </w:tcPr>
          <w:p w14:paraId="734B431B">
            <w:pPr>
              <w:ind w:left="113" w:right="113"/>
              <w:jc w:val="left"/>
              <w:rPr>
                <w:sz w:val="24"/>
              </w:rPr>
            </w:pPr>
            <w:r>
              <w:rPr>
                <w:rFonts w:hint="eastAsia"/>
                <w:sz w:val="24"/>
              </w:rPr>
              <w:t>Remarks</w:t>
            </w:r>
          </w:p>
        </w:tc>
        <w:tc>
          <w:tcPr>
            <w:tcW w:w="7335" w:type="dxa"/>
            <w:gridSpan w:val="5"/>
            <w:tcBorders>
              <w:top w:val="single" w:color="auto" w:sz="4" w:space="0"/>
              <w:left w:val="single" w:color="auto" w:sz="4" w:space="0"/>
              <w:bottom w:val="single" w:color="auto" w:sz="4" w:space="0"/>
              <w:right w:val="single" w:color="auto" w:sz="4" w:space="0"/>
            </w:tcBorders>
          </w:tcPr>
          <w:p w14:paraId="472BD8D7">
            <w:pPr>
              <w:jc w:val="left"/>
              <w:rPr>
                <w:rFonts w:hint="default"/>
                <w:sz w:val="24"/>
              </w:rPr>
            </w:pPr>
            <w:r>
              <w:rPr>
                <w:sz w:val="24"/>
              </w:rPr>
              <w:t>The project is complete, fully documented, presented and ready for assessment. It delivers a genuine, explainable AI trust feature — not a cosmetic one — and demonstrates a production-style stack: Vue 3 + Spring Boot 3.2 + MySQL 8 + a multi-LLM gateway, all deployable with a single Docker command. The three closest-but-unfinished items are documented as future work (a public Trust Score API, a cross-account fraud graph and a mobile PWA).</w:t>
            </w:r>
          </w:p>
          <w:p/>
        </w:tc>
      </w:tr>
    </w:tbl>
    <w:p w14:paraId="14C7A3E5">
      <w:pPr>
        <w:jc w:val="left"/>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E5286">
    <w:r>
      <w:drawing>
        <wp:anchor distT="0" distB="0" distL="114300" distR="114300" simplePos="0" relativeHeight="251659264" behindDoc="0" locked="0" layoutInCell="1" allowOverlap="1">
          <wp:simplePos x="0" y="0"/>
          <wp:positionH relativeFrom="column">
            <wp:posOffset>3175</wp:posOffset>
          </wp:positionH>
          <wp:positionV relativeFrom="paragraph">
            <wp:posOffset>-266700</wp:posOffset>
          </wp:positionV>
          <wp:extent cx="1943735" cy="495300"/>
          <wp:effectExtent l="0" t="0" r="0" b="0"/>
          <wp:wrapNone/>
          <wp:docPr id="1" name="图片 5" descr="横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横校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43735" cy="49530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410"/>
    <w:rsid w:val="00004753"/>
    <w:rsid w:val="00007383"/>
    <w:rsid w:val="00007393"/>
    <w:rsid w:val="000E55DC"/>
    <w:rsid w:val="000F2107"/>
    <w:rsid w:val="00116CB3"/>
    <w:rsid w:val="00133A24"/>
    <w:rsid w:val="00150960"/>
    <w:rsid w:val="0015687A"/>
    <w:rsid w:val="001A7B70"/>
    <w:rsid w:val="001B51BE"/>
    <w:rsid w:val="001C369E"/>
    <w:rsid w:val="001C5AC8"/>
    <w:rsid w:val="00210910"/>
    <w:rsid w:val="00276135"/>
    <w:rsid w:val="002801E6"/>
    <w:rsid w:val="002E117A"/>
    <w:rsid w:val="0030240B"/>
    <w:rsid w:val="00351AD7"/>
    <w:rsid w:val="00357D9E"/>
    <w:rsid w:val="00374AA6"/>
    <w:rsid w:val="003F763D"/>
    <w:rsid w:val="00400442"/>
    <w:rsid w:val="0043309C"/>
    <w:rsid w:val="00493F6C"/>
    <w:rsid w:val="00642292"/>
    <w:rsid w:val="006C467F"/>
    <w:rsid w:val="00725906"/>
    <w:rsid w:val="00731048"/>
    <w:rsid w:val="00793346"/>
    <w:rsid w:val="008375E1"/>
    <w:rsid w:val="008C3AE4"/>
    <w:rsid w:val="008E71AE"/>
    <w:rsid w:val="009453C7"/>
    <w:rsid w:val="0097041C"/>
    <w:rsid w:val="009F5C79"/>
    <w:rsid w:val="00A2540C"/>
    <w:rsid w:val="00A47B7B"/>
    <w:rsid w:val="00B103B9"/>
    <w:rsid w:val="00B208B6"/>
    <w:rsid w:val="00B34988"/>
    <w:rsid w:val="00B87C3F"/>
    <w:rsid w:val="00B93E30"/>
    <w:rsid w:val="00C46098"/>
    <w:rsid w:val="00CA4410"/>
    <w:rsid w:val="00CF686B"/>
    <w:rsid w:val="00D33253"/>
    <w:rsid w:val="00D409E6"/>
    <w:rsid w:val="00D57B8E"/>
    <w:rsid w:val="00DA2211"/>
    <w:rsid w:val="00DF6FF3"/>
    <w:rsid w:val="00EA7CF7"/>
    <w:rsid w:val="00ED388B"/>
    <w:rsid w:val="00F03B12"/>
    <w:rsid w:val="00F23BB7"/>
    <w:rsid w:val="00F453A4"/>
    <w:rsid w:val="00FA65A2"/>
    <w:rsid w:val="213E1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7"/>
    <w:uiPriority w:val="0"/>
    <w:pPr>
      <w:tabs>
        <w:tab w:val="center" w:pos="4153"/>
        <w:tab w:val="right" w:pos="8306"/>
      </w:tabs>
      <w:snapToGrid w:val="0"/>
      <w:jc w:val="left"/>
    </w:pPr>
    <w:rPr>
      <w:sz w:val="18"/>
      <w:szCs w:val="18"/>
    </w:rPr>
  </w:style>
  <w:style w:type="paragraph" w:styleId="5">
    <w:name w:val="header"/>
    <w:basedOn w:val="1"/>
    <w:link w:val="6"/>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link w:val="5"/>
    <w:uiPriority w:val="0"/>
    <w:rPr>
      <w:kern w:val="2"/>
      <w:sz w:val="18"/>
      <w:szCs w:val="18"/>
    </w:rPr>
  </w:style>
  <w:style w:type="character" w:customStyle="1" w:styleId="7">
    <w:name w:val="页脚 字符"/>
    <w:link w:val="4"/>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Toshiba</Company>
  <Pages>4</Pages>
  <Words>90</Words>
  <Characters>656</Characters>
  <Lines>2</Lines>
  <Paragraphs>1</Paragraphs>
  <TotalTime>3</TotalTime>
  <ScaleCrop>false</ScaleCrop>
  <LinksUpToDate>false</LinksUpToDate>
  <CharactersWithSpaces>733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2018-06-28T02:52:00Z</dcterms:created>
  <dc:creator>孙帮辉</dc:creator>
  <cp:lastModifiedBy>Paradox</cp:lastModifiedBy>
  <dcterms:modified xsi:type="dcterms:W3CDTF">2026-07-06T15:09:50Z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eyJoZGlkIjoiZjQ2N2Q3YWJjZTk4OTcwMTI5N2NjZTc1OTM1YTljMTcifQ==</vt:lpwstr>
  </property>
  <property fmtid="{D5CDD505-2E9C-101B-9397-08002B2CF9AE}" pid="3" name="KSOProductBuildVer">
    <vt:lpwstr>1033-12.1.0.26372</vt:lpwstr>
  </property>
  <property fmtid="{D5CDD505-2E9C-101B-9397-08002B2CF9AE}" pid="4" name="ICV">
    <vt:lpwstr>57734570692D423E862A1B4AEF7E0B3C_13</vt:lpwstr>
  </property>
</Properties>
</file>