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690"/>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Pr>
        <w:drawing>
          <wp:inline distB="0" distT="0" distL="114300" distR="114300">
            <wp:extent cx="2959735" cy="2217420"/>
            <wp:effectExtent b="0" l="0" r="0" t="0"/>
            <wp:docPr descr="LOGO" id="2" name="image2.png"/>
            <a:graphic>
              <a:graphicData uri="http://schemas.openxmlformats.org/drawingml/2006/picture">
                <pic:pic>
                  <pic:nvPicPr>
                    <pic:cNvPr descr="LOGO" id="0" name="image2.png"/>
                    <pic:cNvPicPr preferRelativeResize="0"/>
                  </pic:nvPicPr>
                  <pic:blipFill>
                    <a:blip r:embed="rId6"/>
                    <a:srcRect b="0" l="0" r="0" t="0"/>
                    <a:stretch>
                      <a:fillRect/>
                    </a:stretch>
                  </pic:blipFill>
                  <pic:spPr>
                    <a:xfrm>
                      <a:off x="0" y="0"/>
                      <a:ext cx="2959735"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Jomo Kenyatta University of Agriculture and Technology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Telecommunication and Information Engineering</w:t>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Unit: Wireless Communication II</w:t>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Code: ETI 2511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LAB </w:t>
      </w: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Group 4</w:t>
      </w:r>
      <w:r w:rsidDel="00000000" w:rsidR="00000000" w:rsidRPr="00000000">
        <w:rPr>
          <w:rtl w:val="0"/>
        </w:rPr>
      </w:r>
    </w:p>
    <w:tbl>
      <w:tblPr>
        <w:tblStyle w:val="Table1"/>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
        <w:gridCol w:w="4209"/>
        <w:gridCol w:w="4500"/>
        <w:tblGridChange w:id="0">
          <w:tblGrid>
            <w:gridCol w:w="376"/>
            <w:gridCol w:w="4209"/>
            <w:gridCol w:w="4500"/>
          </w:tblGrid>
        </w:tblGridChange>
      </w:tblGrid>
      <w:tr>
        <w:trPr>
          <w:cantSplit w:val="0"/>
          <w:trHeight w:val="610" w:hRule="atLeast"/>
          <w:tblHeader w:val="0"/>
        </w:trPr>
        <w:tc>
          <w:tcPr/>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32"/>
                <w:szCs w:val="32"/>
              </w:rPr>
            </w:pPr>
            <w:r w:rsidDel="00000000" w:rsidR="00000000" w:rsidRPr="00000000">
              <w:rPr>
                <w:rtl w:val="0"/>
              </w:rPr>
            </w:r>
          </w:p>
        </w:tc>
        <w:tc>
          <w:tcPr/>
          <w:p w:rsidR="00000000" w:rsidDel="00000000" w:rsidP="00000000" w:rsidRDefault="00000000" w:rsidRPr="00000000" w14:paraId="0000000B">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Name</w:t>
            </w:r>
          </w:p>
        </w:tc>
        <w:tc>
          <w:tcPr/>
          <w:p w:rsidR="00000000" w:rsidDel="00000000" w:rsidP="00000000" w:rsidRDefault="00000000" w:rsidRPr="00000000" w14:paraId="0000000C">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Reg. No.</w:t>
            </w:r>
          </w:p>
        </w:tc>
      </w:tr>
      <w:tr>
        <w:trPr>
          <w:cantSplit w:val="0"/>
          <w:trHeight w:val="610" w:hRule="atLeast"/>
          <w:tblHeader w:val="0"/>
        </w:trPr>
        <w:tc>
          <w:tcPr/>
          <w:p w:rsidR="00000000" w:rsidDel="00000000" w:rsidP="00000000" w:rsidRDefault="00000000" w:rsidRPr="00000000" w14:paraId="0000000D">
            <w:pPr>
              <w:spacing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w:t>
            </w:r>
          </w:p>
        </w:tc>
        <w:tc>
          <w:tcPr/>
          <w:p w:rsidR="00000000" w:rsidDel="00000000" w:rsidP="00000000" w:rsidRDefault="00000000" w:rsidRPr="00000000" w14:paraId="0000000E">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Simiyu Patience Simuli</w:t>
            </w:r>
            <w:r w:rsidDel="00000000" w:rsidR="00000000" w:rsidRPr="00000000">
              <w:rPr>
                <w:rtl w:val="0"/>
              </w:rPr>
            </w:r>
          </w:p>
        </w:tc>
        <w:tc>
          <w:tcPr/>
          <w:p w:rsidR="00000000" w:rsidDel="00000000" w:rsidP="00000000" w:rsidRDefault="00000000" w:rsidRPr="00000000" w14:paraId="0000000F">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ENE221-0110/2018</w:t>
            </w:r>
          </w:p>
        </w:tc>
      </w:tr>
      <w:tr>
        <w:trPr>
          <w:cantSplit w:val="0"/>
          <w:trHeight w:val="610" w:hRule="atLeast"/>
          <w:tblHeader w:val="0"/>
        </w:trPr>
        <w:tc>
          <w:tcPr/>
          <w:p w:rsidR="00000000" w:rsidDel="00000000" w:rsidP="00000000" w:rsidRDefault="00000000" w:rsidRPr="00000000" w14:paraId="00000010">
            <w:pPr>
              <w:spacing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w:t>
            </w:r>
          </w:p>
        </w:tc>
        <w:tc>
          <w:tcPr/>
          <w:p w:rsidR="00000000" w:rsidDel="00000000" w:rsidP="00000000" w:rsidRDefault="00000000" w:rsidRPr="00000000" w14:paraId="00000011">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Levin Wasike</w:t>
            </w:r>
            <w:r w:rsidDel="00000000" w:rsidR="00000000" w:rsidRPr="00000000">
              <w:rPr>
                <w:rtl w:val="0"/>
              </w:rPr>
            </w:r>
          </w:p>
        </w:tc>
        <w:tc>
          <w:tcPr/>
          <w:p w:rsidR="00000000" w:rsidDel="00000000" w:rsidP="00000000" w:rsidRDefault="00000000" w:rsidRPr="00000000" w14:paraId="00000012">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ENE221-0300/2016</w:t>
            </w:r>
          </w:p>
        </w:tc>
      </w:tr>
      <w:tr>
        <w:trPr>
          <w:cantSplit w:val="0"/>
          <w:trHeight w:val="610" w:hRule="atLeast"/>
          <w:tblHeader w:val="0"/>
        </w:trPr>
        <w:tc>
          <w:tcPr/>
          <w:p w:rsidR="00000000" w:rsidDel="00000000" w:rsidP="00000000" w:rsidRDefault="00000000" w:rsidRPr="00000000" w14:paraId="00000013">
            <w:pPr>
              <w:spacing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w:t>
            </w:r>
          </w:p>
        </w:tc>
        <w:tc>
          <w:tcPr/>
          <w:p w:rsidR="00000000" w:rsidDel="00000000" w:rsidP="00000000" w:rsidRDefault="00000000" w:rsidRPr="00000000" w14:paraId="00000014">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Benson Chege</w:t>
            </w:r>
            <w:r w:rsidDel="00000000" w:rsidR="00000000" w:rsidRPr="00000000">
              <w:rPr>
                <w:rtl w:val="0"/>
              </w:rPr>
            </w:r>
          </w:p>
        </w:tc>
        <w:tc>
          <w:tcPr/>
          <w:p w:rsidR="00000000" w:rsidDel="00000000" w:rsidP="00000000" w:rsidRDefault="00000000" w:rsidRPr="00000000" w14:paraId="00000015">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ENE221-0283</w:t>
            </w:r>
            <w:r w:rsidDel="00000000" w:rsidR="00000000" w:rsidRPr="00000000">
              <w:rPr>
                <w:rFonts w:ascii="Times New Roman" w:cs="Times New Roman" w:eastAsia="Times New Roman" w:hAnsi="Times New Roman"/>
                <w:b w:val="1"/>
                <w:sz w:val="32"/>
                <w:szCs w:val="32"/>
                <w:rtl w:val="0"/>
              </w:rPr>
              <w:t xml:space="preserve">/2016</w:t>
            </w:r>
            <w:r w:rsidDel="00000000" w:rsidR="00000000" w:rsidRPr="00000000">
              <w:rPr>
                <w:rtl w:val="0"/>
              </w:rPr>
            </w:r>
          </w:p>
        </w:tc>
      </w:tr>
      <w:tr>
        <w:trPr>
          <w:cantSplit w:val="0"/>
          <w:trHeight w:val="635" w:hRule="atLeast"/>
          <w:tblHeader w:val="0"/>
        </w:trPr>
        <w:tc>
          <w:tcPr/>
          <w:p w:rsidR="00000000" w:rsidDel="00000000" w:rsidP="00000000" w:rsidRDefault="00000000" w:rsidRPr="00000000" w14:paraId="00000016">
            <w:pPr>
              <w:spacing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w:t>
            </w:r>
          </w:p>
        </w:tc>
        <w:tc>
          <w:tcPr/>
          <w:p w:rsidR="00000000" w:rsidDel="00000000" w:rsidP="00000000" w:rsidRDefault="00000000" w:rsidRPr="00000000" w14:paraId="00000017">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Wicliffe Wasonga </w:t>
            </w:r>
          </w:p>
        </w:tc>
        <w:tc>
          <w:tcPr/>
          <w:p w:rsidR="00000000" w:rsidDel="00000000" w:rsidP="00000000" w:rsidRDefault="00000000" w:rsidRPr="00000000" w14:paraId="00000018">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ENE221-0122/2017</w:t>
            </w:r>
          </w:p>
        </w:tc>
      </w:tr>
    </w:tbl>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OF LTE PROPAGATION CHANNELS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is meant to demonstrate how to  simulate propagation channels. It demonstrates the generation of reference signals specific to a cell, map them onto a resource grid and  perform OFDM modulation then pass the results of these processes through a fading channel.</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w:t>
      </w:r>
    </w:p>
    <w:p w:rsidR="00000000" w:rsidDel="00000000" w:rsidP="00000000" w:rsidRDefault="00000000" w:rsidRPr="00000000" w14:paraId="0000001F">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enb.NDLRB = 9;</w:t>
      </w:r>
    </w:p>
    <w:p w:rsidR="00000000" w:rsidDel="00000000" w:rsidP="00000000" w:rsidRDefault="00000000" w:rsidRPr="00000000" w14:paraId="00000020">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enb.CyclicPrefix = </w:t>
      </w:r>
      <w:r w:rsidDel="00000000" w:rsidR="00000000" w:rsidRPr="00000000">
        <w:rPr>
          <w:rFonts w:ascii="Times New Roman" w:cs="Times New Roman" w:eastAsia="Times New Roman" w:hAnsi="Times New Roman"/>
          <w:color w:val="aa04f9"/>
          <w:sz w:val="24"/>
          <w:szCs w:val="24"/>
          <w:rtl w:val="0"/>
        </w:rPr>
        <w:t xml:space="preserve">'Normal'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1">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enb.PHICHDuration = </w:t>
      </w:r>
      <w:r w:rsidDel="00000000" w:rsidR="00000000" w:rsidRPr="00000000">
        <w:rPr>
          <w:rFonts w:ascii="Times New Roman" w:cs="Times New Roman" w:eastAsia="Times New Roman" w:hAnsi="Times New Roman"/>
          <w:color w:val="aa04f9"/>
          <w:sz w:val="24"/>
          <w:szCs w:val="24"/>
          <w:rtl w:val="0"/>
        </w:rPr>
        <w:t xml:space="preserve">'Normal'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2">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enb.CFI = 3;</w:t>
      </w:r>
    </w:p>
    <w:p w:rsidR="00000000" w:rsidDel="00000000" w:rsidP="00000000" w:rsidRDefault="00000000" w:rsidRPr="00000000" w14:paraId="00000023">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enb.Ng = </w:t>
      </w:r>
      <w:r w:rsidDel="00000000" w:rsidR="00000000" w:rsidRPr="00000000">
        <w:rPr>
          <w:rFonts w:ascii="Times New Roman" w:cs="Times New Roman" w:eastAsia="Times New Roman" w:hAnsi="Times New Roman"/>
          <w:color w:val="aa04f9"/>
          <w:sz w:val="24"/>
          <w:szCs w:val="24"/>
          <w:rtl w:val="0"/>
        </w:rPr>
        <w:t xml:space="preserve">'Sixth'</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4">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enb.CellRefP = 1;</w:t>
      </w:r>
    </w:p>
    <w:p w:rsidR="00000000" w:rsidDel="00000000" w:rsidP="00000000" w:rsidRDefault="00000000" w:rsidRPr="00000000" w14:paraId="00000025">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enb.NCellID = 10;</w:t>
      </w:r>
    </w:p>
    <w:p w:rsidR="00000000" w:rsidDel="00000000" w:rsidP="00000000" w:rsidRDefault="00000000" w:rsidRPr="00000000" w14:paraId="00000026">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enb.NSubframe = 0;</w:t>
      </w:r>
    </w:p>
    <w:p w:rsidR="00000000" w:rsidDel="00000000" w:rsidP="00000000" w:rsidRDefault="00000000" w:rsidRPr="00000000" w14:paraId="00000027">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enb.DuplexMode = </w:t>
      </w:r>
      <w:r w:rsidDel="00000000" w:rsidR="00000000" w:rsidRPr="00000000">
        <w:rPr>
          <w:rFonts w:ascii="Times New Roman" w:cs="Times New Roman" w:eastAsia="Times New Roman" w:hAnsi="Times New Roman"/>
          <w:color w:val="aa04f9"/>
          <w:sz w:val="24"/>
          <w:szCs w:val="24"/>
          <w:rtl w:val="0"/>
        </w:rPr>
        <w:t xml:space="preserve">'FDD'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8">
      <w:pPr>
        <w:shd w:fill="f7f7f7"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antennaPort = 0;</w:t>
      </w:r>
    </w:p>
    <w:p w:rsidR="00000000" w:rsidDel="00000000" w:rsidP="00000000" w:rsidRDefault="00000000" w:rsidRPr="00000000" w14:paraId="00000029">
      <w:pPr>
        <w:spacing w:after="135"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A">
      <w:pPr>
        <w:spacing w:after="135"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2: Resource Grid and Transmission Waveform</w:t>
      </w:r>
    </w:p>
    <w:p w:rsidR="00000000" w:rsidDel="00000000" w:rsidP="00000000" w:rsidRDefault="00000000" w:rsidRPr="00000000" w14:paraId="0000002B">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Generate a subframe resource grid. To create the resource grid, call the </w:t>
      </w:r>
      <w:hyperlink r:id="rId7">
        <w:r w:rsidDel="00000000" w:rsidR="00000000" w:rsidRPr="00000000">
          <w:rPr>
            <w:rFonts w:ascii="Times New Roman" w:cs="Times New Roman" w:eastAsia="Times New Roman" w:hAnsi="Times New Roman"/>
            <w:color w:val="0000ff"/>
            <w:sz w:val="24"/>
            <w:szCs w:val="24"/>
            <w:u w:val="single"/>
            <w:rtl w:val="0"/>
          </w:rPr>
          <w:t xml:space="preserve">lteDLResourceGrid</w:t>
        </w:r>
      </w:hyperlink>
      <w:r w:rsidDel="00000000" w:rsidR="00000000" w:rsidRPr="00000000">
        <w:rPr>
          <w:rFonts w:ascii="Times New Roman" w:cs="Times New Roman" w:eastAsia="Times New Roman" w:hAnsi="Times New Roman"/>
          <w:color w:val="000000"/>
          <w:sz w:val="24"/>
          <w:szCs w:val="24"/>
          <w:rtl w:val="0"/>
        </w:rPr>
        <w:t xml:space="preserve"> function. This function creates an empty resource grid for one subframe.</w:t>
      </w:r>
    </w:p>
    <w:p w:rsidR="00000000" w:rsidDel="00000000" w:rsidP="00000000" w:rsidRDefault="00000000" w:rsidRPr="00000000" w14:paraId="0000002C">
      <w:pPr>
        <w:spacing w:after="135"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hd w:fill="f7f7f7"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subframe = lteDLResourceGrid(enb);</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Generate cell-specific reference symbols (CellRS) and map them onto the resource elements (REs) of a resource grid using linear indices.</w:t>
      </w:r>
    </w:p>
    <w:p w:rsidR="00000000" w:rsidDel="00000000" w:rsidP="00000000" w:rsidRDefault="00000000" w:rsidRPr="00000000" w14:paraId="00000030">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cellRSsymbols = lteCellRS(enb,antennaPort);</w:t>
      </w:r>
    </w:p>
    <w:p w:rsidR="00000000" w:rsidDel="00000000" w:rsidP="00000000" w:rsidRDefault="00000000" w:rsidRPr="00000000" w14:paraId="00000031">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cellRSindices = lteCellRSIndices(enb,antennaPort,{</w:t>
      </w:r>
      <w:r w:rsidDel="00000000" w:rsidR="00000000" w:rsidRPr="00000000">
        <w:rPr>
          <w:rFonts w:ascii="Times New Roman" w:cs="Times New Roman" w:eastAsia="Times New Roman" w:hAnsi="Times New Roman"/>
          <w:color w:val="aa04f9"/>
          <w:sz w:val="24"/>
          <w:szCs w:val="24"/>
          <w:rtl w:val="0"/>
        </w:rPr>
        <w:t xml:space="preserve">'1based'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2">
      <w:pPr>
        <w:shd w:fill="f7f7f7"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subframe(cellRSindices) = cellRSsymbols;</w:t>
      </w:r>
    </w:p>
    <w:p w:rsidR="00000000" w:rsidDel="00000000" w:rsidP="00000000" w:rsidRDefault="00000000" w:rsidRPr="00000000" w14:paraId="00000033">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 OFDM modulation of the complex symbols in a subframe, subframe, using cell-wide settings structure enb.</w:t>
      </w:r>
    </w:p>
    <w:p w:rsidR="00000000" w:rsidDel="00000000" w:rsidP="00000000" w:rsidRDefault="00000000" w:rsidRPr="00000000" w14:paraId="00000034">
      <w:pPr>
        <w:spacing w:after="135"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hd w:fill="f7f7f7"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[txWaveform,info] = lteOFDMModulate(enb,subframe);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output argument, txWaveform, contains the transmitted OFDM modulated symbols. The second output argument, info, is a structure that contains details about the modulation process. The field info.SamplingRate provides the sampling rate, </w:t>
      </w:r>
      <w:r w:rsidDel="00000000" w:rsidR="00000000" w:rsidRPr="00000000">
        <w:rPr>
          <w:rFonts w:ascii="Times New Roman" w:cs="Times New Roman" w:eastAsia="Times New Roman" w:hAnsi="Times New Roman"/>
          <w:color w:val="000000"/>
          <w:sz w:val="40"/>
          <w:szCs w:val="40"/>
          <w:vertAlign w:val="subscript"/>
        </w:rPr>
        <w:drawing>
          <wp:inline distB="0" distT="0" distL="0" distR="0">
            <wp:extent cx="466725" cy="190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6725" cy="1905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of the time domain waveform:</w:t>
      </w:r>
    </w:p>
    <w:p w:rsidR="00000000" w:rsidDel="00000000" w:rsidP="00000000" w:rsidRDefault="00000000" w:rsidRPr="00000000" w14:paraId="00000038">
      <w:pPr>
        <w:spacing w:after="135"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40"/>
          <w:szCs w:val="40"/>
          <w:vertAlign w:val="subscript"/>
        </w:rPr>
        <w:drawing>
          <wp:inline distB="0" distT="0" distL="0" distR="0">
            <wp:extent cx="1562100" cy="4381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621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w:t>
      </w:r>
      <w:r w:rsidDel="00000000" w:rsidR="00000000" w:rsidRPr="00000000">
        <w:rPr>
          <w:rFonts w:ascii="Times New Roman" w:cs="Times New Roman" w:eastAsia="Times New Roman" w:hAnsi="Times New Roman"/>
          <w:color w:val="000000"/>
          <w:sz w:val="40"/>
          <w:szCs w:val="40"/>
          <w:vertAlign w:val="subscript"/>
        </w:rPr>
        <w:drawing>
          <wp:inline distB="0" distT="0" distL="0" distR="0">
            <wp:extent cx="285750" cy="190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5750" cy="1905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is the size of the OFDM inverse Fourier transform (IFT).</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Propagation Channel</w:t>
      </w:r>
    </w:p>
    <w:p w:rsidR="00000000" w:rsidDel="00000000" w:rsidP="00000000" w:rsidRDefault="00000000" w:rsidRPr="00000000" w14:paraId="0000003C">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Construct the LTE multipath fading channel</w:t>
      </w:r>
      <w:r w:rsidDel="00000000" w:rsidR="00000000" w:rsidRPr="00000000">
        <w:rPr>
          <w:rFonts w:ascii="Times New Roman" w:cs="Times New Roman" w:eastAsia="Times New Roman" w:hAnsi="Times New Roman"/>
          <w:sz w:val="24"/>
          <w:szCs w:val="24"/>
          <w:rtl w:val="0"/>
        </w:rPr>
        <w:t xml:space="preserve"> by first</w:t>
      </w:r>
      <w:r w:rsidDel="00000000" w:rsidR="00000000" w:rsidRPr="00000000">
        <w:rPr>
          <w:rFonts w:ascii="Times New Roman" w:cs="Times New Roman" w:eastAsia="Times New Roman" w:hAnsi="Times New Roman"/>
          <w:color w:val="000000"/>
          <w:sz w:val="24"/>
          <w:szCs w:val="24"/>
          <w:rtl w:val="0"/>
        </w:rPr>
        <w:t xml:space="preserve"> setting up the channel parameters by creating a 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channel.</w:t>
      </w:r>
    </w:p>
    <w:p w:rsidR="00000000" w:rsidDel="00000000" w:rsidP="00000000" w:rsidRDefault="00000000" w:rsidRPr="00000000" w14:paraId="0000003D">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channel.Seed = 1;</w:t>
      </w:r>
    </w:p>
    <w:p w:rsidR="00000000" w:rsidDel="00000000" w:rsidP="00000000" w:rsidRDefault="00000000" w:rsidRPr="00000000" w14:paraId="0000003E">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channel.NRxAnts = 1;</w:t>
      </w:r>
    </w:p>
    <w:p w:rsidR="00000000" w:rsidDel="00000000" w:rsidP="00000000" w:rsidRDefault="00000000" w:rsidRPr="00000000" w14:paraId="0000003F">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channel.DelayProfile = </w:t>
      </w:r>
      <w:r w:rsidDel="00000000" w:rsidR="00000000" w:rsidRPr="00000000">
        <w:rPr>
          <w:rFonts w:ascii="Times New Roman" w:cs="Times New Roman" w:eastAsia="Times New Roman" w:hAnsi="Times New Roman"/>
          <w:color w:val="aa04f9"/>
          <w:sz w:val="24"/>
          <w:szCs w:val="24"/>
          <w:rtl w:val="0"/>
        </w:rPr>
        <w:t xml:space="preserve">'EVA'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0">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channel.DopplerFreq = 5;</w:t>
      </w:r>
    </w:p>
    <w:p w:rsidR="00000000" w:rsidDel="00000000" w:rsidP="00000000" w:rsidRDefault="00000000" w:rsidRPr="00000000" w14:paraId="00000041">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channel.MIMOCorrelation = </w:t>
      </w:r>
      <w:r w:rsidDel="00000000" w:rsidR="00000000" w:rsidRPr="00000000">
        <w:rPr>
          <w:rFonts w:ascii="Times New Roman" w:cs="Times New Roman" w:eastAsia="Times New Roman" w:hAnsi="Times New Roman"/>
          <w:color w:val="aa04f9"/>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2">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channel.SamplingRate = info.SamplingRate;</w:t>
      </w:r>
    </w:p>
    <w:p w:rsidR="00000000" w:rsidDel="00000000" w:rsidP="00000000" w:rsidRDefault="00000000" w:rsidRPr="00000000" w14:paraId="00000043">
      <w:pPr>
        <w:shd w:fill="f7f7f7"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channel.InitTime = 0;</w:t>
      </w:r>
    </w:p>
    <w:p w:rsidR="00000000" w:rsidDel="00000000" w:rsidP="00000000" w:rsidRDefault="00000000" w:rsidRPr="00000000" w14:paraId="00000044">
      <w:pPr>
        <w:spacing w:after="1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sampling rate in the channel model, channel.SamplingRate, must be set to the info field of the SamplingRate returned by the </w:t>
      </w:r>
      <w:hyperlink r:id="rId11">
        <w:r w:rsidDel="00000000" w:rsidR="00000000" w:rsidRPr="00000000">
          <w:rPr>
            <w:rFonts w:ascii="Times New Roman" w:cs="Times New Roman" w:eastAsia="Times New Roman" w:hAnsi="Times New Roman"/>
            <w:color w:val="0000ff"/>
            <w:sz w:val="24"/>
            <w:szCs w:val="24"/>
            <w:u w:val="single"/>
            <w:rtl w:val="0"/>
          </w:rPr>
          <w:t xml:space="preserve">lteOFDMModulate</w:t>
        </w:r>
      </w:hyperlink>
      <w:r w:rsidDel="00000000" w:rsidR="00000000" w:rsidRPr="00000000">
        <w:rPr>
          <w:rFonts w:ascii="Times New Roman" w:cs="Times New Roman" w:eastAsia="Times New Roman" w:hAnsi="Times New Roman"/>
          <w:color w:val="000000"/>
          <w:sz w:val="24"/>
          <w:szCs w:val="24"/>
          <w:rtl w:val="0"/>
        </w:rPr>
        <w:t xml:space="preserve"> function.</w:t>
      </w:r>
    </w:p>
    <w:p w:rsidR="00000000" w:rsidDel="00000000" w:rsidP="00000000" w:rsidRDefault="00000000" w:rsidRPr="00000000" w14:paraId="00000046">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 data through the LTE fading channel by calling the </w:t>
      </w:r>
      <w:hyperlink r:id="rId12">
        <w:r w:rsidDel="00000000" w:rsidR="00000000" w:rsidRPr="00000000">
          <w:rPr>
            <w:rFonts w:ascii="Times New Roman" w:cs="Times New Roman" w:eastAsia="Times New Roman" w:hAnsi="Times New Roman"/>
            <w:color w:val="0000ff"/>
            <w:sz w:val="24"/>
            <w:szCs w:val="24"/>
            <w:u w:val="single"/>
            <w:rtl w:val="0"/>
          </w:rPr>
          <w:t xml:space="preserve"> lteFadingChannel</w:t>
        </w:r>
      </w:hyperlink>
      <w:r w:rsidDel="00000000" w:rsidR="00000000" w:rsidRPr="00000000">
        <w:rPr>
          <w:rFonts w:ascii="Times New Roman" w:cs="Times New Roman" w:eastAsia="Times New Roman" w:hAnsi="Times New Roman"/>
          <w:color w:val="000000"/>
          <w:sz w:val="24"/>
          <w:szCs w:val="24"/>
          <w:rtl w:val="0"/>
        </w:rPr>
        <w:t xml:space="preserve"> function. This function generates an LTE multipath fading channel, as specified in TS 36.101 (See reference [1]). The first input argument, txWaveform, is an array of LTE transmitted samples. Each row contains the waveform samples for each of the transmit antennas. These waveforms are filtered with the delay profiles as specified in the parameter structure, channel.</w:t>
      </w:r>
    </w:p>
    <w:p w:rsidR="00000000" w:rsidDel="00000000" w:rsidP="00000000" w:rsidRDefault="00000000" w:rsidRPr="00000000" w14:paraId="00000047">
      <w:pPr>
        <w:shd w:fill="f7f7f7"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rxWaveform = lteFadingChannel(channel,txWaveform);</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Received waveform</w:t>
      </w:r>
    </w:p>
    <w:p w:rsidR="00000000" w:rsidDel="00000000" w:rsidP="00000000" w:rsidRDefault="00000000" w:rsidRPr="00000000" w14:paraId="0000004A">
      <w:pPr>
        <w:spacing w:after="13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output argument, rxWaveform, is the channel output signal matrix. Each row corresponds to the waveform at each of the receive antennas. Since you have defined one receive antenna, the number of rows in the rxWaveform matrix is one.</w:t>
      </w:r>
    </w:p>
    <w:p w:rsidR="00000000" w:rsidDel="00000000" w:rsidP="00000000" w:rsidRDefault="00000000" w:rsidRPr="00000000" w14:paraId="0000004B">
      <w:pPr>
        <w:spacing w:after="135"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shd w:fill="f7f7f7"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size(rxWaveform)</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54292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Plot Signal Before and After Fading Channel</w:t>
      </w:r>
    </w:p>
    <w:p w:rsidR="00000000" w:rsidDel="00000000" w:rsidP="00000000" w:rsidRDefault="00000000" w:rsidRPr="00000000" w14:paraId="00000052">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a spectrum analyzer with before-channel and after-channel waveforms, using Welch's</w:t>
      </w:r>
    </w:p>
    <w:p w:rsidR="00000000" w:rsidDel="00000000" w:rsidP="00000000" w:rsidRDefault="00000000" w:rsidRPr="00000000" w14:paraId="00000053">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spectrum estimation method.</w:t>
      </w:r>
    </w:p>
    <w:p w:rsidR="00000000" w:rsidDel="00000000" w:rsidP="00000000" w:rsidRDefault="00000000" w:rsidRPr="00000000" w14:paraId="00000054">
      <w:pPr>
        <w:shd w:fill="f7f7f7"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 = </w:t>
      </w:r>
      <w:r w:rsidDel="00000000" w:rsidR="00000000" w:rsidRPr="00000000">
        <w:rPr>
          <w:rFonts w:ascii="Times New Roman" w:cs="Times New Roman" w:eastAsia="Times New Roman" w:hAnsi="Times New Roman"/>
          <w:color w:val="aa04f9"/>
          <w:sz w:val="24"/>
          <w:szCs w:val="24"/>
          <w:rtl w:val="0"/>
        </w:rPr>
        <w:t xml:space="preserve">'Waveform Before and After Fading Channel'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6">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saScope = dsp.SpectrumAnalyzer(</w:t>
      </w:r>
      <w:r w:rsidDel="00000000" w:rsidR="00000000" w:rsidRPr="00000000">
        <w:rPr>
          <w:rFonts w:ascii="Times New Roman" w:cs="Times New Roman" w:eastAsia="Times New Roman" w:hAnsi="Times New Roman"/>
          <w:color w:val="aa04f9"/>
          <w:sz w:val="24"/>
          <w:szCs w:val="24"/>
          <w:rtl w:val="0"/>
        </w:rPr>
        <w:t xml:space="preserve">'SampleRate'</w:t>
      </w:r>
      <w:r w:rsidDel="00000000" w:rsidR="00000000" w:rsidRPr="00000000">
        <w:rPr>
          <w:rFonts w:ascii="Times New Roman" w:cs="Times New Roman" w:eastAsia="Times New Roman" w:hAnsi="Times New Roman"/>
          <w:color w:val="000000"/>
          <w:sz w:val="24"/>
          <w:szCs w:val="24"/>
          <w:rtl w:val="0"/>
        </w:rPr>
        <w:t xml:space="preserve">,info.SamplingRate,</w:t>
      </w:r>
      <w:r w:rsidDel="00000000" w:rsidR="00000000" w:rsidRPr="00000000">
        <w:rPr>
          <w:rFonts w:ascii="Times New Roman" w:cs="Times New Roman" w:eastAsia="Times New Roman" w:hAnsi="Times New Roman"/>
          <w:color w:val="aa04f9"/>
          <w:sz w:val="24"/>
          <w:szCs w:val="24"/>
          <w:rtl w:val="0"/>
        </w:rPr>
        <w:t xml:space="preserve">'ShowLegend'</w:t>
      </w:r>
      <w:r w:rsidDel="00000000" w:rsidR="00000000" w:rsidRPr="00000000">
        <w:rPr>
          <w:rFonts w:ascii="Times New Roman" w:cs="Times New Roman" w:eastAsia="Times New Roman" w:hAnsi="Times New Roman"/>
          <w:color w:val="000000"/>
          <w:sz w:val="24"/>
          <w:szCs w:val="24"/>
          <w:rtl w:val="0"/>
        </w:rPr>
        <w:t xml:space="preserve">,true,</w:t>
      </w:r>
      <w:r w:rsidDel="00000000" w:rsidR="00000000" w:rsidRPr="00000000">
        <w:rPr>
          <w:rFonts w:ascii="Times New Roman" w:cs="Times New Roman" w:eastAsia="Times New Roman" w:hAnsi="Times New Roman"/>
          <w:color w:val="0e00ff"/>
          <w:sz w:val="24"/>
          <w:szCs w:val="24"/>
          <w:rtl w:val="0"/>
        </w:rPr>
        <w:t xml:space="preserve">...</w:t>
      </w:r>
      <w:r w:rsidDel="00000000" w:rsidR="00000000" w:rsidRPr="00000000">
        <w:rPr>
          <w:rtl w:val="0"/>
        </w:rPr>
      </w:r>
    </w:p>
    <w:p w:rsidR="00000000" w:rsidDel="00000000" w:rsidP="00000000" w:rsidRDefault="00000000" w:rsidRPr="00000000" w14:paraId="00000057">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aa04f9"/>
          <w:sz w:val="24"/>
          <w:szCs w:val="24"/>
          <w:rtl w:val="0"/>
        </w:rPr>
        <w:t xml:space="preserve">'SpectralAverages'</w:t>
      </w: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Fonts w:ascii="Times New Roman" w:cs="Times New Roman" w:eastAsia="Times New Roman" w:hAnsi="Times New Roman"/>
          <w:color w:val="aa04f9"/>
          <w:sz w:val="24"/>
          <w:szCs w:val="24"/>
          <w:rtl w:val="0"/>
        </w:rPr>
        <w:t xml:space="preserve">'Title'</w:t>
      </w:r>
      <w:r w:rsidDel="00000000" w:rsidR="00000000" w:rsidRPr="00000000">
        <w:rPr>
          <w:rFonts w:ascii="Times New Roman" w:cs="Times New Roman" w:eastAsia="Times New Roman" w:hAnsi="Times New Roman"/>
          <w:color w:val="000000"/>
          <w:sz w:val="24"/>
          <w:szCs w:val="24"/>
          <w:rtl w:val="0"/>
        </w:rPr>
        <w:t xml:space="preserve">,title,</w:t>
      </w:r>
      <w:r w:rsidDel="00000000" w:rsidR="00000000" w:rsidRPr="00000000">
        <w:rPr>
          <w:rFonts w:ascii="Times New Roman" w:cs="Times New Roman" w:eastAsia="Times New Roman" w:hAnsi="Times New Roman"/>
          <w:color w:val="aa04f9"/>
          <w:sz w:val="24"/>
          <w:szCs w:val="24"/>
          <w:rtl w:val="0"/>
        </w:rPr>
        <w:t xml:space="preserve">'ChannelNames'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aa04f9"/>
          <w:sz w:val="24"/>
          <w:szCs w:val="24"/>
          <w:rtl w:val="0"/>
        </w:rPr>
        <w:t xml:space="preserve">'Before'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aa04f9"/>
          <w:sz w:val="24"/>
          <w:szCs w:val="24"/>
          <w:rtl w:val="0"/>
        </w:rPr>
        <w:t xml:space="preserve">'After'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8">
      <w:pPr>
        <w:shd w:fill="f7f7f7" w:val="clear"/>
        <w:spacing w:after="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saScope([txWaveform,rxWaveform]);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24815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2481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about:blank"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