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A8E" w:rsidRDefault="00662D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Объем инвестиций в основной капитал области за первое полугодие достиг отметки в 1033 миллиардов тенге. Это на 20</w:t>
      </w:r>
      <w:r w:rsidR="00F57476">
        <w:rPr>
          <w:rFonts w:ascii="Times New Roman" w:hAnsi="Times New Roman" w:cs="Times New Roman"/>
          <w:sz w:val="28"/>
          <w:szCs w:val="28"/>
          <w:lang w:val="ru-RU"/>
        </w:rPr>
        <w:t>,3</w:t>
      </w:r>
      <w:r w:rsidR="0087644C">
        <w:rPr>
          <w:rFonts w:ascii="Times New Roman" w:hAnsi="Times New Roman" w:cs="Times New Roman"/>
          <w:sz w:val="28"/>
          <w:szCs w:val="28"/>
          <w:lang w:val="ru-RU"/>
        </w:rPr>
        <w:t xml:space="preserve">% больше </w:t>
      </w: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="008A6022">
        <w:rPr>
          <w:rFonts w:ascii="Times New Roman" w:hAnsi="Times New Roman" w:cs="Times New Roman"/>
          <w:sz w:val="28"/>
          <w:szCs w:val="28"/>
          <w:lang w:val="ru-RU"/>
        </w:rPr>
        <w:t xml:space="preserve">зателя города Астаны за </w:t>
      </w:r>
      <w:r w:rsidR="0087644C">
        <w:rPr>
          <w:rFonts w:ascii="Times New Roman" w:hAnsi="Times New Roman" w:cs="Times New Roman"/>
          <w:sz w:val="28"/>
          <w:szCs w:val="28"/>
          <w:lang w:val="ru-RU"/>
        </w:rPr>
        <w:t xml:space="preserve">весь </w:t>
      </w:r>
      <w:r w:rsidR="008A6022">
        <w:rPr>
          <w:rFonts w:ascii="Times New Roman" w:hAnsi="Times New Roman" w:cs="Times New Roman"/>
          <w:sz w:val="28"/>
          <w:szCs w:val="28"/>
          <w:lang w:val="ru-RU"/>
        </w:rPr>
        <w:t>2016 г.</w:t>
      </w:r>
      <w:r>
        <w:rPr>
          <w:rFonts w:ascii="Times New Roman" w:hAnsi="Times New Roman" w:cs="Times New Roman"/>
          <w:sz w:val="28"/>
          <w:szCs w:val="28"/>
          <w:lang w:val="ru-RU"/>
        </w:rPr>
        <w:t>, занимающего второе место по этому показателю в республике. ИФО за первое полугодие составил 107,2%.</w:t>
      </w:r>
    </w:p>
    <w:p w:rsidR="008A6022" w:rsidRDefault="00F574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Доля внутренних инвестиций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Атырауской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области за январь – июнь 2017г. впервые оказал</w:t>
      </w:r>
      <w:r w:rsidR="0087644C">
        <w:rPr>
          <w:rFonts w:ascii="Times New Roman" w:hAnsi="Times New Roman" w:cs="Times New Roman"/>
          <w:sz w:val="28"/>
          <w:szCs w:val="28"/>
          <w:lang w:val="ru-RU"/>
        </w:rPr>
        <w:t>ась выше доли внешних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(60,12% - 39,88%). В предыдущих годах объем инвестиций в основной капитал преимущественно составляли внешние инвестиции.</w:t>
      </w:r>
    </w:p>
    <w:p w:rsidR="00F57476" w:rsidRPr="00F57476" w:rsidRDefault="00FC4B1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Инвестиции в промышленность за 2017 г</w:t>
      </w:r>
      <w:r w:rsidR="0087644C">
        <w:rPr>
          <w:rFonts w:ascii="Times New Roman" w:hAnsi="Times New Roman" w:cs="Times New Roman"/>
          <w:sz w:val="28"/>
          <w:szCs w:val="28"/>
          <w:lang w:val="ru-RU"/>
        </w:rPr>
        <w:t>. повысились до 1682 млрд тенге, о</w:t>
      </w:r>
      <w:r>
        <w:rPr>
          <w:rFonts w:ascii="Times New Roman" w:hAnsi="Times New Roman" w:cs="Times New Roman"/>
          <w:sz w:val="28"/>
          <w:szCs w:val="28"/>
          <w:lang w:val="ru-RU"/>
        </w:rPr>
        <w:t>сновным источником инвестиций являются собственные средства (1432 млрд тенге)</w:t>
      </w:r>
      <w:r w:rsidR="00B2768F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662D5E" w:rsidRDefault="00662D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62D5E" w:rsidRPr="00662D5E" w:rsidRDefault="00662D5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62D5E" w:rsidRPr="00662D5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89"/>
    <w:rsid w:val="004A6A8E"/>
    <w:rsid w:val="00662D5E"/>
    <w:rsid w:val="0087644C"/>
    <w:rsid w:val="008A6022"/>
    <w:rsid w:val="00B2768F"/>
    <w:rsid w:val="00DD2689"/>
    <w:rsid w:val="00F57476"/>
    <w:rsid w:val="00FC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6844"/>
  <w15:chartTrackingRefBased/>
  <w15:docId w15:val="{CB799003-BDB4-46C9-B538-46980615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2017-12-19T10:43:00Z</dcterms:created>
  <dcterms:modified xsi:type="dcterms:W3CDTF">2017-12-19T11:55:00Z</dcterms:modified>
</cp:coreProperties>
</file>