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7 — M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ま み む め も.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m row is regular and easy to blend into simple syllable pairs.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ma, mi, mu, me, mo.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ま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ma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み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mi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 + i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む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mu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 + 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め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me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も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mo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kana. </w:t>
      </w:r>
      <w:r>
        <w:rPr>
          <w:rFonts w:ascii="Calibri" w:hAnsi="Calibri"/>
          <w:b/>
          <w:i w:val="0"/>
          <w:color w:val="007A87"/>
          <w:sz w:val="20"/>
        </w:rPr>
        <w:t>Say the sound out loud first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focus on </w:t>
      </w:r>
      <w:r>
        <w:rPr>
          <w:rFonts w:ascii="Calibri" w:hAnsi="Calibri"/>
          <w:b/>
          <w:i w:val="0"/>
          <w:color w:val="1A3A5C"/>
          <w:sz w:val="20"/>
        </w:rPr>
        <w:t>how it sounds</w:t>
      </w:r>
      <w:r>
        <w:rPr>
          <w:rFonts w:ascii="Calibri" w:hAnsi="Calibri"/>
          <w:b w:val="0"/>
          <w:i w:val="0"/>
          <w:color w:val="1A1A2E"/>
          <w:sz w:val="20"/>
        </w:rPr>
        <w:t xml:space="preserve">, not on describing the symbol. </w:t>
      </w:r>
      <w:r>
        <w:rPr>
          <w:rFonts w:ascii="Calibri" w:hAnsi="Calibri"/>
          <w:b/>
          <w:i w:val="0"/>
          <w:color w:val="007A87"/>
          <w:sz w:val="20"/>
        </w:rPr>
        <w:t>Then copy the kana itself</w:t>
      </w:r>
      <w:r>
        <w:rPr>
          <w:rFonts w:ascii="Calibri" w:hAnsi="Calibri"/>
          <w:b w:val="0"/>
          <w:i w:val="0"/>
          <w:color w:val="1A1A2E"/>
          <w:sz w:val="20"/>
        </w:rPr>
        <w:t xml:space="preserve"> on both blank lines.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ま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み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む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め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も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ま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み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む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まみ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ma-mi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むめ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mu-me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もま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mo-ma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みも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mi-mo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ま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み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む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め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も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is another strong confidence-building row because the sounds are very 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Encourage students to read pairs in one smooth rhythm instead of stopping between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Quick oral drills work well with this row.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